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4E" w:rsidRDefault="00844D4E" w:rsidP="00AF4F8A">
      <w:pPr>
        <w:pStyle w:val="Default"/>
        <w:rPr>
          <w:sz w:val="32"/>
          <w:szCs w:val="32"/>
        </w:rPr>
      </w:pPr>
      <w:r w:rsidRPr="0005349A">
        <w:rPr>
          <w:rFonts w:ascii="Cambria" w:hAnsi="Cambria"/>
          <w:i/>
          <w:noProof/>
        </w:rPr>
        <w:drawing>
          <wp:inline distT="0" distB="0" distL="0" distR="0" wp14:anchorId="71E042E5" wp14:editId="43735163">
            <wp:extent cx="981075" cy="1025669"/>
            <wp:effectExtent l="0" t="0" r="0" b="317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1025669"/>
                    </a:xfrm>
                    <a:prstGeom prst="rect">
                      <a:avLst/>
                    </a:prstGeom>
                    <a:noFill/>
                    <a:ln>
                      <a:noFill/>
                    </a:ln>
                    <a:effectLst/>
                    <a:extLst/>
                  </pic:spPr>
                </pic:pic>
              </a:graphicData>
            </a:graphic>
          </wp:inline>
        </w:drawing>
      </w:r>
    </w:p>
    <w:p w:rsidR="00844D4E" w:rsidRDefault="00844D4E" w:rsidP="00AF4F8A">
      <w:pPr>
        <w:pStyle w:val="Default"/>
        <w:rPr>
          <w:sz w:val="32"/>
          <w:szCs w:val="32"/>
        </w:rPr>
      </w:pPr>
    </w:p>
    <w:p w:rsidR="00AF4F8A" w:rsidRPr="00844D4E" w:rsidRDefault="00AF4F8A" w:rsidP="00844D4E">
      <w:pPr>
        <w:pStyle w:val="Default"/>
        <w:jc w:val="center"/>
        <w:rPr>
          <w:b/>
          <w:sz w:val="36"/>
          <w:szCs w:val="28"/>
        </w:rPr>
      </w:pPr>
      <w:r w:rsidRPr="00844D4E">
        <w:rPr>
          <w:b/>
          <w:sz w:val="36"/>
          <w:szCs w:val="28"/>
        </w:rPr>
        <w:t>Cost Sharing &amp;Voluntary Contribution</w:t>
      </w:r>
      <w:r w:rsidR="00062304">
        <w:rPr>
          <w:b/>
          <w:sz w:val="36"/>
          <w:szCs w:val="28"/>
        </w:rPr>
        <w:t>s</w:t>
      </w:r>
      <w:r w:rsidRPr="00844D4E">
        <w:rPr>
          <w:b/>
          <w:sz w:val="36"/>
          <w:szCs w:val="28"/>
        </w:rPr>
        <w:t xml:space="preserve"> Guidelines</w:t>
      </w:r>
    </w:p>
    <w:p w:rsidR="00AF4F8A" w:rsidRDefault="00AF4F8A" w:rsidP="00AF4F8A">
      <w:pPr>
        <w:pStyle w:val="Default"/>
        <w:rPr>
          <w:sz w:val="28"/>
          <w:szCs w:val="28"/>
        </w:rPr>
      </w:pPr>
    </w:p>
    <w:p w:rsidR="00AF4F8A" w:rsidRDefault="00AF4F8A" w:rsidP="00AF4F8A">
      <w:pPr>
        <w:pStyle w:val="Default"/>
        <w:rPr>
          <w:sz w:val="28"/>
          <w:szCs w:val="28"/>
        </w:rPr>
      </w:pPr>
      <w:r>
        <w:rPr>
          <w:b/>
          <w:bCs/>
          <w:sz w:val="28"/>
          <w:szCs w:val="28"/>
        </w:rPr>
        <w:t xml:space="preserve">Purpose: </w:t>
      </w:r>
    </w:p>
    <w:p w:rsidR="00AF4F8A" w:rsidRPr="00753023" w:rsidRDefault="00AF4F8A" w:rsidP="00AF4F8A">
      <w:pPr>
        <w:pStyle w:val="Default"/>
        <w:rPr>
          <w:szCs w:val="23"/>
        </w:rPr>
      </w:pPr>
      <w:r w:rsidRPr="00753023">
        <w:rPr>
          <w:szCs w:val="23"/>
        </w:rPr>
        <w:t>This document serves as a guideline for Older American</w:t>
      </w:r>
      <w:r w:rsidR="00CD3FD8">
        <w:rPr>
          <w:szCs w:val="23"/>
        </w:rPr>
        <w:t>s</w:t>
      </w:r>
      <w:r w:rsidRPr="00753023">
        <w:rPr>
          <w:szCs w:val="23"/>
        </w:rPr>
        <w:t xml:space="preserve"> Ac</w:t>
      </w:r>
      <w:r w:rsidR="00062304" w:rsidRPr="00753023">
        <w:rPr>
          <w:szCs w:val="23"/>
        </w:rPr>
        <w:t>t Title III service provider’s in developing and implementing</w:t>
      </w:r>
      <w:r w:rsidRPr="00753023">
        <w:rPr>
          <w:szCs w:val="23"/>
        </w:rPr>
        <w:t xml:space="preserve"> cost sharing and voluntary contribution</w:t>
      </w:r>
      <w:r w:rsidR="00062304" w:rsidRPr="00753023">
        <w:rPr>
          <w:szCs w:val="23"/>
        </w:rPr>
        <w:t>s</w:t>
      </w:r>
      <w:r w:rsidRPr="00753023">
        <w:rPr>
          <w:szCs w:val="23"/>
        </w:rPr>
        <w:t xml:space="preserve"> p</w:t>
      </w:r>
      <w:r w:rsidR="00062304" w:rsidRPr="00753023">
        <w:rPr>
          <w:szCs w:val="23"/>
        </w:rPr>
        <w:t>olicies and procedures. It clarifies</w:t>
      </w:r>
      <w:r w:rsidRPr="00753023">
        <w:rPr>
          <w:szCs w:val="23"/>
        </w:rPr>
        <w:t xml:space="preserve"> regulations mandated by the Minnesota Board on Aging (MBA) in accordance with Section 315</w:t>
      </w:r>
      <w:r w:rsidR="00062304" w:rsidRPr="00753023">
        <w:rPr>
          <w:szCs w:val="23"/>
        </w:rPr>
        <w:t>(a) of the Older Americans Act.</w:t>
      </w:r>
    </w:p>
    <w:p w:rsidR="00062304" w:rsidRDefault="00062304" w:rsidP="00AF4F8A">
      <w:pPr>
        <w:pStyle w:val="Default"/>
        <w:rPr>
          <w:sz w:val="23"/>
          <w:szCs w:val="23"/>
        </w:rPr>
      </w:pPr>
    </w:p>
    <w:p w:rsidR="00062304" w:rsidRDefault="00062304" w:rsidP="00062304">
      <w:pPr>
        <w:pStyle w:val="Default"/>
        <w:rPr>
          <w:sz w:val="28"/>
          <w:szCs w:val="28"/>
        </w:rPr>
      </w:pPr>
      <w:r>
        <w:rPr>
          <w:b/>
          <w:bCs/>
          <w:sz w:val="28"/>
          <w:szCs w:val="28"/>
        </w:rPr>
        <w:t xml:space="preserve">Background: </w:t>
      </w:r>
    </w:p>
    <w:p w:rsidR="00062304" w:rsidRPr="00753023" w:rsidRDefault="00062304" w:rsidP="00AF4F8A">
      <w:pPr>
        <w:pStyle w:val="Default"/>
        <w:rPr>
          <w:szCs w:val="23"/>
        </w:rPr>
      </w:pPr>
      <w:r w:rsidRPr="00753023">
        <w:rPr>
          <w:szCs w:val="23"/>
        </w:rPr>
        <w:t xml:space="preserve">In March 2011, MBA approved an updated Title III policy regarding cost sharing and volunteer contributions.  Implementation of the new policy is to </w:t>
      </w:r>
      <w:r w:rsidRPr="00753023">
        <w:rPr>
          <w:szCs w:val="23"/>
          <w:u w:val="single"/>
        </w:rPr>
        <w:t>begin</w:t>
      </w:r>
      <w:r w:rsidRPr="00753023">
        <w:rPr>
          <w:szCs w:val="23"/>
        </w:rPr>
        <w:t xml:space="preserve"> in the 2012 project year.</w:t>
      </w:r>
    </w:p>
    <w:p w:rsidR="00AF4F8A" w:rsidRDefault="00AF4F8A" w:rsidP="00AF4F8A">
      <w:pPr>
        <w:pStyle w:val="Default"/>
        <w:rPr>
          <w:b/>
          <w:bCs/>
          <w:sz w:val="28"/>
          <w:szCs w:val="28"/>
        </w:rPr>
      </w:pPr>
    </w:p>
    <w:p w:rsidR="00AF4F8A" w:rsidRDefault="00AF4F8A" w:rsidP="00AF4F8A">
      <w:pPr>
        <w:pStyle w:val="Default"/>
        <w:rPr>
          <w:sz w:val="28"/>
          <w:szCs w:val="28"/>
        </w:rPr>
      </w:pPr>
      <w:r>
        <w:rPr>
          <w:b/>
          <w:bCs/>
          <w:sz w:val="28"/>
          <w:szCs w:val="28"/>
        </w:rPr>
        <w:t xml:space="preserve">Cost Sharing Policies: </w:t>
      </w:r>
    </w:p>
    <w:p w:rsidR="00AF4F8A" w:rsidRPr="00753023" w:rsidRDefault="00AF4F8A" w:rsidP="00AF4F8A">
      <w:pPr>
        <w:pStyle w:val="Default"/>
        <w:rPr>
          <w:szCs w:val="23"/>
        </w:rPr>
      </w:pPr>
      <w:r w:rsidRPr="00753023">
        <w:rPr>
          <w:szCs w:val="23"/>
        </w:rPr>
        <w:t xml:space="preserve">Cost sharing is required for all Older Americans Act </w:t>
      </w:r>
      <w:r w:rsidR="00062304" w:rsidRPr="00753023">
        <w:rPr>
          <w:szCs w:val="23"/>
        </w:rPr>
        <w:t xml:space="preserve">Title III funded services </w:t>
      </w:r>
      <w:r w:rsidRPr="00753023">
        <w:rPr>
          <w:szCs w:val="23"/>
          <w:u w:val="single"/>
        </w:rPr>
        <w:t>except</w:t>
      </w:r>
      <w:r w:rsidR="00062304" w:rsidRPr="00753023">
        <w:rPr>
          <w:szCs w:val="23"/>
        </w:rPr>
        <w:t>:</w:t>
      </w:r>
      <w:r w:rsidRPr="00753023">
        <w:rPr>
          <w:szCs w:val="23"/>
        </w:rPr>
        <w:t xml:space="preserve"> </w:t>
      </w:r>
    </w:p>
    <w:p w:rsidR="00AF4F8A" w:rsidRPr="00753023" w:rsidRDefault="00AF4F8A" w:rsidP="00AF4F8A">
      <w:pPr>
        <w:pStyle w:val="Default"/>
        <w:numPr>
          <w:ilvl w:val="0"/>
          <w:numId w:val="6"/>
        </w:numPr>
        <w:rPr>
          <w:szCs w:val="23"/>
        </w:rPr>
      </w:pPr>
      <w:r w:rsidRPr="00753023">
        <w:rPr>
          <w:szCs w:val="23"/>
        </w:rPr>
        <w:t>Information and assistance, outreach, benefits counseling, or other case management servic</w:t>
      </w:r>
      <w:r w:rsidR="00062304" w:rsidRPr="00753023">
        <w:rPr>
          <w:szCs w:val="23"/>
        </w:rPr>
        <w:t>es;</w:t>
      </w:r>
      <w:r w:rsidRPr="00753023">
        <w:rPr>
          <w:szCs w:val="23"/>
        </w:rPr>
        <w:t xml:space="preserve"> </w:t>
      </w:r>
    </w:p>
    <w:p w:rsidR="00AF4F8A" w:rsidRPr="00753023" w:rsidRDefault="00AF4F8A" w:rsidP="00AF4F8A">
      <w:pPr>
        <w:pStyle w:val="Default"/>
        <w:numPr>
          <w:ilvl w:val="0"/>
          <w:numId w:val="6"/>
        </w:numPr>
        <w:rPr>
          <w:szCs w:val="23"/>
        </w:rPr>
      </w:pPr>
      <w:r w:rsidRPr="00753023">
        <w:rPr>
          <w:szCs w:val="23"/>
        </w:rPr>
        <w:t>Ombudsman, elder abuse prevention, legal assistance, or oth</w:t>
      </w:r>
      <w:r w:rsidR="00062304" w:rsidRPr="00753023">
        <w:rPr>
          <w:szCs w:val="23"/>
        </w:rPr>
        <w:t>er consumer protection services;</w:t>
      </w:r>
    </w:p>
    <w:p w:rsidR="00AF4F8A" w:rsidRPr="00753023" w:rsidRDefault="00AF4F8A" w:rsidP="00AF4F8A">
      <w:pPr>
        <w:pStyle w:val="Default"/>
        <w:numPr>
          <w:ilvl w:val="0"/>
          <w:numId w:val="6"/>
        </w:numPr>
        <w:rPr>
          <w:szCs w:val="23"/>
        </w:rPr>
      </w:pPr>
      <w:r w:rsidRPr="00753023">
        <w:rPr>
          <w:szCs w:val="23"/>
        </w:rPr>
        <w:t>Congregate and home delivered meals</w:t>
      </w:r>
      <w:r w:rsidR="00062304" w:rsidRPr="00753023">
        <w:rPr>
          <w:szCs w:val="23"/>
        </w:rPr>
        <w:t>; and</w:t>
      </w:r>
      <w:r w:rsidRPr="00753023">
        <w:rPr>
          <w:szCs w:val="23"/>
        </w:rPr>
        <w:t xml:space="preserve"> </w:t>
      </w:r>
    </w:p>
    <w:p w:rsidR="00AF4F8A" w:rsidRPr="00753023" w:rsidRDefault="00AF4F8A" w:rsidP="00AF4F8A">
      <w:pPr>
        <w:pStyle w:val="Default"/>
        <w:numPr>
          <w:ilvl w:val="0"/>
          <w:numId w:val="6"/>
        </w:numPr>
        <w:rPr>
          <w:szCs w:val="23"/>
        </w:rPr>
      </w:pPr>
      <w:r w:rsidRPr="00753023">
        <w:rPr>
          <w:szCs w:val="23"/>
        </w:rPr>
        <w:t>Any service deliver</w:t>
      </w:r>
      <w:r w:rsidR="00062304" w:rsidRPr="00753023">
        <w:rPr>
          <w:szCs w:val="23"/>
        </w:rPr>
        <w:t>ed through tribal organizations.</w:t>
      </w:r>
    </w:p>
    <w:p w:rsidR="00AF4F8A" w:rsidRDefault="00AF4F8A" w:rsidP="00AF4F8A">
      <w:pPr>
        <w:pStyle w:val="Default"/>
        <w:rPr>
          <w:sz w:val="23"/>
          <w:szCs w:val="23"/>
        </w:rPr>
      </w:pPr>
    </w:p>
    <w:p w:rsidR="00AF4F8A" w:rsidRPr="00753023" w:rsidRDefault="00062304" w:rsidP="00AF4F8A">
      <w:pPr>
        <w:pStyle w:val="Default"/>
        <w:rPr>
          <w:szCs w:val="23"/>
        </w:rPr>
      </w:pPr>
      <w:r w:rsidRPr="00753023">
        <w:rPr>
          <w:szCs w:val="23"/>
        </w:rPr>
        <w:t>Cost sharing</w:t>
      </w:r>
      <w:r w:rsidR="00AF4F8A" w:rsidRPr="00753023">
        <w:rPr>
          <w:szCs w:val="23"/>
        </w:rPr>
        <w:t xml:space="preserve"> should be applied to all individuals receiving any </w:t>
      </w:r>
      <w:r w:rsidRPr="00753023">
        <w:rPr>
          <w:szCs w:val="23"/>
        </w:rPr>
        <w:t xml:space="preserve">Title III required to </w:t>
      </w:r>
      <w:r w:rsidR="00B742CB" w:rsidRPr="00753023">
        <w:rPr>
          <w:szCs w:val="23"/>
        </w:rPr>
        <w:t xml:space="preserve">implement cost sharing, </w:t>
      </w:r>
      <w:r w:rsidR="00B742CB" w:rsidRPr="00753023">
        <w:rPr>
          <w:szCs w:val="23"/>
          <w:u w:val="single"/>
        </w:rPr>
        <w:t>except</w:t>
      </w:r>
      <w:r w:rsidR="00B742CB" w:rsidRPr="00753023">
        <w:rPr>
          <w:szCs w:val="23"/>
        </w:rPr>
        <w:t xml:space="preserve"> </w:t>
      </w:r>
      <w:r w:rsidR="00AF4F8A" w:rsidRPr="00753023">
        <w:rPr>
          <w:szCs w:val="23"/>
        </w:rPr>
        <w:t xml:space="preserve">individuals: </w:t>
      </w:r>
    </w:p>
    <w:p w:rsidR="00AF4F8A" w:rsidRPr="00753023" w:rsidRDefault="00AF4F8A" w:rsidP="00AF4F8A">
      <w:pPr>
        <w:pStyle w:val="Default"/>
        <w:rPr>
          <w:szCs w:val="23"/>
        </w:rPr>
      </w:pPr>
    </w:p>
    <w:p w:rsidR="00AF4F8A" w:rsidRPr="00753023" w:rsidRDefault="00AF4F8A" w:rsidP="00AF4F8A">
      <w:pPr>
        <w:pStyle w:val="Default"/>
        <w:numPr>
          <w:ilvl w:val="0"/>
          <w:numId w:val="4"/>
        </w:numPr>
        <w:rPr>
          <w:szCs w:val="23"/>
        </w:rPr>
      </w:pPr>
      <w:r w:rsidRPr="00753023">
        <w:rPr>
          <w:szCs w:val="23"/>
        </w:rPr>
        <w:t>With incomes at or below 100 percent of the federal poverty level</w:t>
      </w:r>
      <w:r w:rsidR="00B742CB" w:rsidRPr="00753023">
        <w:rPr>
          <w:szCs w:val="23"/>
        </w:rPr>
        <w:t>;</w:t>
      </w:r>
      <w:r w:rsidRPr="00753023">
        <w:rPr>
          <w:szCs w:val="23"/>
        </w:rPr>
        <w:t xml:space="preserve"> </w:t>
      </w:r>
    </w:p>
    <w:p w:rsidR="00AF4F8A" w:rsidRPr="00753023" w:rsidRDefault="00AF4F8A" w:rsidP="00AF4F8A">
      <w:pPr>
        <w:pStyle w:val="Default"/>
        <w:numPr>
          <w:ilvl w:val="0"/>
          <w:numId w:val="4"/>
        </w:numPr>
        <w:rPr>
          <w:szCs w:val="23"/>
        </w:rPr>
      </w:pPr>
      <w:r w:rsidRPr="00753023">
        <w:rPr>
          <w:szCs w:val="23"/>
        </w:rPr>
        <w:t xml:space="preserve">Receiving services through a Medicaid Waiver Program (Community Alternative for Disabled Individuals (CADI), Community Alternative Care (CAC), Developmental Disabilities (DD), Elderly Waiver (EW) or Traumatic Brain Injury (TBI) or the Alternative Care Program (AC). </w:t>
      </w:r>
    </w:p>
    <w:p w:rsidR="00AF4F8A" w:rsidRDefault="00AF4F8A" w:rsidP="00AF4F8A">
      <w:pPr>
        <w:pStyle w:val="Default"/>
        <w:rPr>
          <w:sz w:val="23"/>
          <w:szCs w:val="23"/>
        </w:rPr>
      </w:pPr>
    </w:p>
    <w:p w:rsidR="00AF4F8A" w:rsidRPr="00753023" w:rsidRDefault="00AF4F8A" w:rsidP="00AF4F8A">
      <w:pPr>
        <w:pStyle w:val="Default"/>
        <w:rPr>
          <w:szCs w:val="23"/>
        </w:rPr>
      </w:pPr>
      <w:r w:rsidRPr="00753023">
        <w:rPr>
          <w:szCs w:val="23"/>
        </w:rPr>
        <w:t>The Older Americans Act (Sec. 315a) and MBA guidance re</w:t>
      </w:r>
      <w:r w:rsidR="00B742CB" w:rsidRPr="00753023">
        <w:rPr>
          <w:szCs w:val="23"/>
        </w:rPr>
        <w:t>quires that Title III service providers</w:t>
      </w:r>
      <w:r w:rsidRPr="00753023">
        <w:rPr>
          <w:szCs w:val="23"/>
        </w:rPr>
        <w:t xml:space="preserve"> h</w:t>
      </w:r>
      <w:r w:rsidR="00B742CB" w:rsidRPr="00753023">
        <w:rPr>
          <w:szCs w:val="23"/>
        </w:rPr>
        <w:t>ave written cost sharing</w:t>
      </w:r>
      <w:r w:rsidRPr="00753023">
        <w:rPr>
          <w:szCs w:val="23"/>
        </w:rPr>
        <w:t xml:space="preserve"> policies and procedures that describe</w:t>
      </w:r>
      <w:r w:rsidR="00B742CB" w:rsidRPr="00753023">
        <w:rPr>
          <w:szCs w:val="23"/>
        </w:rPr>
        <w:t xml:space="preserve"> how</w:t>
      </w:r>
      <w:r w:rsidRPr="00753023">
        <w:rPr>
          <w:szCs w:val="23"/>
        </w:rPr>
        <w:t xml:space="preserve"> the</w:t>
      </w:r>
      <w:r w:rsidR="00B742CB" w:rsidRPr="00753023">
        <w:rPr>
          <w:szCs w:val="23"/>
        </w:rPr>
        <w:t>y will implement</w:t>
      </w:r>
      <w:r w:rsidRPr="00753023">
        <w:rPr>
          <w:szCs w:val="23"/>
        </w:rPr>
        <w:t xml:space="preserve"> and </w:t>
      </w:r>
      <w:r w:rsidR="00B742CB" w:rsidRPr="00753023">
        <w:rPr>
          <w:szCs w:val="23"/>
        </w:rPr>
        <w:t>administer the cost sharing</w:t>
      </w:r>
      <w:r w:rsidRPr="00753023">
        <w:rPr>
          <w:szCs w:val="23"/>
        </w:rPr>
        <w:t xml:space="preserve"> policy</w:t>
      </w:r>
      <w:r w:rsidR="00B742CB" w:rsidRPr="00753023">
        <w:rPr>
          <w:szCs w:val="23"/>
        </w:rPr>
        <w:t>, including how the provider</w:t>
      </w:r>
      <w:r w:rsidRPr="00753023">
        <w:rPr>
          <w:szCs w:val="23"/>
        </w:rPr>
        <w:t xml:space="preserve"> will: </w:t>
      </w:r>
    </w:p>
    <w:p w:rsidR="00AF4F8A" w:rsidRPr="00753023" w:rsidRDefault="00AF4F8A" w:rsidP="00AF4F8A">
      <w:pPr>
        <w:pStyle w:val="Default"/>
        <w:numPr>
          <w:ilvl w:val="0"/>
          <w:numId w:val="2"/>
        </w:numPr>
        <w:rPr>
          <w:szCs w:val="23"/>
        </w:rPr>
      </w:pPr>
      <w:r w:rsidRPr="00753023">
        <w:rPr>
          <w:szCs w:val="23"/>
        </w:rPr>
        <w:t>Protect the privacy and con</w:t>
      </w:r>
      <w:r w:rsidR="00B742CB" w:rsidRPr="00753023">
        <w:rPr>
          <w:szCs w:val="23"/>
        </w:rPr>
        <w:t xml:space="preserve">fidentiality of each individual, specifically </w:t>
      </w:r>
      <w:r w:rsidRPr="00753023">
        <w:rPr>
          <w:szCs w:val="23"/>
        </w:rPr>
        <w:t xml:space="preserve">with respect to the declaration or non-declaration of individual income and </w:t>
      </w:r>
      <w:r w:rsidR="00B742CB" w:rsidRPr="00753023">
        <w:rPr>
          <w:szCs w:val="23"/>
        </w:rPr>
        <w:t xml:space="preserve">to any share of costs paid or  not </w:t>
      </w:r>
      <w:r w:rsidRPr="00753023">
        <w:rPr>
          <w:szCs w:val="23"/>
        </w:rPr>
        <w:t xml:space="preserve">paid by an individual; </w:t>
      </w:r>
    </w:p>
    <w:p w:rsidR="00AF4F8A" w:rsidRPr="00753023" w:rsidRDefault="00AF4F8A" w:rsidP="00AF4F8A">
      <w:pPr>
        <w:pStyle w:val="Default"/>
        <w:numPr>
          <w:ilvl w:val="0"/>
          <w:numId w:val="2"/>
        </w:numPr>
        <w:rPr>
          <w:szCs w:val="23"/>
        </w:rPr>
      </w:pPr>
      <w:r w:rsidRPr="00753023">
        <w:rPr>
          <w:szCs w:val="23"/>
        </w:rPr>
        <w:t>Establish appropriate procedures to safe</w:t>
      </w:r>
      <w:r w:rsidR="00B742CB" w:rsidRPr="00753023">
        <w:rPr>
          <w:szCs w:val="23"/>
        </w:rPr>
        <w:t>guard and account for cost sharing</w:t>
      </w:r>
      <w:r w:rsidRPr="00753023">
        <w:rPr>
          <w:szCs w:val="23"/>
        </w:rPr>
        <w:t xml:space="preserve"> payments; </w:t>
      </w:r>
    </w:p>
    <w:p w:rsidR="00AF4F8A" w:rsidRDefault="008D424E" w:rsidP="00AF4F8A">
      <w:pPr>
        <w:pStyle w:val="Default"/>
        <w:numPr>
          <w:ilvl w:val="0"/>
          <w:numId w:val="2"/>
        </w:numPr>
        <w:rPr>
          <w:szCs w:val="23"/>
        </w:rPr>
      </w:pPr>
      <w:r w:rsidRPr="00753023">
        <w:rPr>
          <w:szCs w:val="23"/>
        </w:rPr>
        <w:t xml:space="preserve">Use </w:t>
      </w:r>
      <w:r w:rsidR="00B742CB" w:rsidRPr="00753023">
        <w:rPr>
          <w:szCs w:val="23"/>
        </w:rPr>
        <w:t>cost sharing</w:t>
      </w:r>
      <w:r w:rsidR="00AF4F8A" w:rsidRPr="00753023">
        <w:rPr>
          <w:szCs w:val="23"/>
        </w:rPr>
        <w:t xml:space="preserve"> payment</w:t>
      </w:r>
      <w:r w:rsidRPr="00753023">
        <w:rPr>
          <w:szCs w:val="23"/>
        </w:rPr>
        <w:t>s collected</w:t>
      </w:r>
      <w:r w:rsidR="00AF4F8A" w:rsidRPr="00753023">
        <w:rPr>
          <w:szCs w:val="23"/>
        </w:rPr>
        <w:t xml:space="preserve"> to expand the serv</w:t>
      </w:r>
      <w:r w:rsidRPr="00753023">
        <w:rPr>
          <w:szCs w:val="23"/>
        </w:rPr>
        <w:t xml:space="preserve">ice for which the </w:t>
      </w:r>
      <w:r w:rsidR="00AF4F8A" w:rsidRPr="00753023">
        <w:rPr>
          <w:szCs w:val="23"/>
        </w:rPr>
        <w:t xml:space="preserve">payment was given; </w:t>
      </w:r>
    </w:p>
    <w:p w:rsidR="00753023" w:rsidRDefault="00753023" w:rsidP="00753023">
      <w:pPr>
        <w:pStyle w:val="Default"/>
        <w:ind w:left="720"/>
        <w:rPr>
          <w:szCs w:val="23"/>
        </w:rPr>
      </w:pPr>
    </w:p>
    <w:p w:rsidR="00753023" w:rsidRDefault="00753023" w:rsidP="00753023">
      <w:pPr>
        <w:pStyle w:val="Default"/>
        <w:ind w:left="720"/>
        <w:rPr>
          <w:szCs w:val="23"/>
        </w:rPr>
      </w:pPr>
    </w:p>
    <w:p w:rsidR="00753023" w:rsidRPr="00753023" w:rsidRDefault="00753023" w:rsidP="00753023">
      <w:pPr>
        <w:pStyle w:val="Default"/>
        <w:ind w:left="720"/>
        <w:rPr>
          <w:szCs w:val="23"/>
        </w:rPr>
      </w:pPr>
    </w:p>
    <w:p w:rsidR="00AF4F8A" w:rsidRPr="00753023" w:rsidRDefault="00AF4F8A" w:rsidP="00AF4F8A">
      <w:pPr>
        <w:pStyle w:val="Default"/>
        <w:numPr>
          <w:ilvl w:val="0"/>
          <w:numId w:val="2"/>
        </w:numPr>
        <w:rPr>
          <w:szCs w:val="23"/>
        </w:rPr>
      </w:pPr>
      <w:r w:rsidRPr="00753023">
        <w:rPr>
          <w:szCs w:val="23"/>
        </w:rPr>
        <w:t xml:space="preserve">Account for cost sharing funds under a separate accounting in the general ledger and not co-mingle the funds with funds received under any other agreement; </w:t>
      </w:r>
    </w:p>
    <w:p w:rsidR="008D424E" w:rsidRPr="00753023" w:rsidRDefault="00AF4F8A" w:rsidP="00B742CB">
      <w:pPr>
        <w:pStyle w:val="Default"/>
        <w:numPr>
          <w:ilvl w:val="0"/>
          <w:numId w:val="2"/>
        </w:numPr>
        <w:rPr>
          <w:sz w:val="23"/>
          <w:szCs w:val="23"/>
        </w:rPr>
      </w:pPr>
      <w:r w:rsidRPr="00753023">
        <w:rPr>
          <w:szCs w:val="23"/>
        </w:rPr>
        <w:t xml:space="preserve">Determine the unit of service cost as the basis for the </w:t>
      </w:r>
      <w:r w:rsidR="008D424E" w:rsidRPr="00753023">
        <w:rPr>
          <w:szCs w:val="23"/>
        </w:rPr>
        <w:t xml:space="preserve">cost sharing </w:t>
      </w:r>
      <w:r w:rsidRPr="00753023">
        <w:rPr>
          <w:szCs w:val="23"/>
        </w:rPr>
        <w:t>sliding scale;</w:t>
      </w:r>
    </w:p>
    <w:p w:rsidR="00AF4F8A" w:rsidRPr="00753023" w:rsidRDefault="00AF4F8A" w:rsidP="00AF4F8A">
      <w:pPr>
        <w:pStyle w:val="Default"/>
        <w:numPr>
          <w:ilvl w:val="0"/>
          <w:numId w:val="2"/>
        </w:numPr>
        <w:rPr>
          <w:szCs w:val="23"/>
        </w:rPr>
      </w:pPr>
      <w:r w:rsidRPr="00753023">
        <w:rPr>
          <w:szCs w:val="23"/>
        </w:rPr>
        <w:t xml:space="preserve">Establish a sliding scale so as not to impose cost sharing for an individual whose income is at or below 100 percent of the Federal poverty </w:t>
      </w:r>
      <w:r w:rsidR="008D424E" w:rsidRPr="00753023">
        <w:rPr>
          <w:szCs w:val="23"/>
        </w:rPr>
        <w:t>guide</w:t>
      </w:r>
      <w:r w:rsidRPr="00753023">
        <w:rPr>
          <w:szCs w:val="23"/>
        </w:rPr>
        <w:t>line</w:t>
      </w:r>
      <w:r w:rsidR="008D424E" w:rsidRPr="00753023">
        <w:rPr>
          <w:szCs w:val="23"/>
        </w:rPr>
        <w:t>s</w:t>
      </w:r>
      <w:r w:rsidRPr="00753023">
        <w:rPr>
          <w:szCs w:val="23"/>
        </w:rPr>
        <w:t xml:space="preserve">, but provides them </w:t>
      </w:r>
      <w:r w:rsidR="008D424E" w:rsidRPr="00753023">
        <w:rPr>
          <w:szCs w:val="23"/>
        </w:rPr>
        <w:t xml:space="preserve">with </w:t>
      </w:r>
      <w:r w:rsidRPr="00753023">
        <w:rPr>
          <w:szCs w:val="23"/>
        </w:rPr>
        <w:t xml:space="preserve">an opportunity to make a </w:t>
      </w:r>
      <w:r w:rsidR="008D424E" w:rsidRPr="00753023">
        <w:rPr>
          <w:szCs w:val="23"/>
        </w:rPr>
        <w:t xml:space="preserve">voluntary </w:t>
      </w:r>
      <w:r w:rsidRPr="00753023">
        <w:rPr>
          <w:szCs w:val="23"/>
        </w:rPr>
        <w:t xml:space="preserve">contribution; </w:t>
      </w:r>
    </w:p>
    <w:p w:rsidR="00AF4F8A" w:rsidRPr="00753023" w:rsidRDefault="008D424E" w:rsidP="00AF4F8A">
      <w:pPr>
        <w:pStyle w:val="Default"/>
        <w:numPr>
          <w:ilvl w:val="0"/>
          <w:numId w:val="2"/>
        </w:numPr>
        <w:rPr>
          <w:szCs w:val="23"/>
        </w:rPr>
      </w:pPr>
      <w:r w:rsidRPr="00753023">
        <w:rPr>
          <w:szCs w:val="23"/>
        </w:rPr>
        <w:t>Inform individuals</w:t>
      </w:r>
      <w:r w:rsidR="00AF4F8A" w:rsidRPr="00753023">
        <w:rPr>
          <w:szCs w:val="23"/>
        </w:rPr>
        <w:t xml:space="preserve"> of their rights and </w:t>
      </w:r>
      <w:r w:rsidRPr="00753023">
        <w:rPr>
          <w:szCs w:val="23"/>
        </w:rPr>
        <w:t>responsibilities in relation</w:t>
      </w:r>
      <w:r w:rsidR="00AF4F8A" w:rsidRPr="00753023">
        <w:rPr>
          <w:szCs w:val="23"/>
        </w:rPr>
        <w:t xml:space="preserve"> to cost-sharing including cost of </w:t>
      </w:r>
      <w:r w:rsidRPr="00753023">
        <w:rPr>
          <w:szCs w:val="23"/>
        </w:rPr>
        <w:t xml:space="preserve">the </w:t>
      </w:r>
      <w:r w:rsidR="00AF4F8A" w:rsidRPr="00753023">
        <w:rPr>
          <w:szCs w:val="23"/>
        </w:rPr>
        <w:t>ser</w:t>
      </w:r>
      <w:r w:rsidRPr="00753023">
        <w:rPr>
          <w:szCs w:val="23"/>
        </w:rPr>
        <w:t xml:space="preserve">vice, recommended level of cost </w:t>
      </w:r>
      <w:r w:rsidR="00AF4F8A" w:rsidRPr="00753023">
        <w:rPr>
          <w:szCs w:val="23"/>
        </w:rPr>
        <w:t xml:space="preserve">sharing, availability of </w:t>
      </w:r>
      <w:r w:rsidRPr="00753023">
        <w:rPr>
          <w:szCs w:val="23"/>
        </w:rPr>
        <w:t>the cost sharing sliding</w:t>
      </w:r>
      <w:r w:rsidR="00AF4F8A" w:rsidRPr="00753023">
        <w:rPr>
          <w:szCs w:val="23"/>
        </w:rPr>
        <w:t xml:space="preserve"> scale and information on availability of services if payment is not made due to inability or unwillingness to pay; </w:t>
      </w:r>
    </w:p>
    <w:p w:rsidR="00AF4F8A" w:rsidRPr="00753023" w:rsidRDefault="005F1149" w:rsidP="00AF4F8A">
      <w:pPr>
        <w:pStyle w:val="Default"/>
        <w:numPr>
          <w:ilvl w:val="0"/>
          <w:numId w:val="2"/>
        </w:numPr>
        <w:rPr>
          <w:szCs w:val="23"/>
        </w:rPr>
      </w:pPr>
      <w:r w:rsidRPr="00753023">
        <w:rPr>
          <w:szCs w:val="23"/>
        </w:rPr>
        <w:t>Determine eligibility for cost sharing based solely on</w:t>
      </w:r>
      <w:r w:rsidR="00AF4F8A" w:rsidRPr="00753023">
        <w:rPr>
          <w:szCs w:val="23"/>
        </w:rPr>
        <w:t xml:space="preserve"> a confidential declaration of </w:t>
      </w:r>
      <w:r w:rsidRPr="00753023">
        <w:rPr>
          <w:szCs w:val="23"/>
        </w:rPr>
        <w:t xml:space="preserve">gross </w:t>
      </w:r>
      <w:r w:rsidR="00AF4F8A" w:rsidRPr="00753023">
        <w:rPr>
          <w:szCs w:val="23"/>
        </w:rPr>
        <w:t xml:space="preserve">income, with no requirement for verification; </w:t>
      </w:r>
    </w:p>
    <w:p w:rsidR="00AF4F8A" w:rsidRPr="00753023" w:rsidRDefault="00AF4F8A" w:rsidP="00AF4F8A">
      <w:pPr>
        <w:pStyle w:val="Default"/>
        <w:numPr>
          <w:ilvl w:val="0"/>
          <w:numId w:val="2"/>
        </w:numPr>
        <w:rPr>
          <w:szCs w:val="23"/>
        </w:rPr>
      </w:pPr>
      <w:r w:rsidRPr="00753023">
        <w:rPr>
          <w:szCs w:val="23"/>
        </w:rPr>
        <w:t>Determine income level solely on the gross income of the individual who is 60 years and older, not considering assets, savings, or other property owned by an older individual, to determine whether cost sharing is permitted (In the case of a caregiver service, the income level will be based on the care receiver’s income; where the caregiver and the care receiver live together and one is 60 years and older</w:t>
      </w:r>
      <w:r w:rsidR="005F1149" w:rsidRPr="00753023">
        <w:rPr>
          <w:szCs w:val="23"/>
        </w:rPr>
        <w:t>,</w:t>
      </w:r>
      <w:r w:rsidRPr="00753023">
        <w:rPr>
          <w:szCs w:val="23"/>
        </w:rPr>
        <w:t xml:space="preserve"> use the two person household income and apply the two person household column on the sliding scale</w:t>
      </w:r>
      <w:r w:rsidR="005F1149" w:rsidRPr="00753023">
        <w:rPr>
          <w:szCs w:val="23"/>
        </w:rPr>
        <w:t>.</w:t>
      </w:r>
      <w:r w:rsidRPr="00753023">
        <w:rPr>
          <w:szCs w:val="23"/>
        </w:rPr>
        <w:t xml:space="preserve">); </w:t>
      </w:r>
    </w:p>
    <w:p w:rsidR="00AF4F8A" w:rsidRPr="00753023" w:rsidRDefault="00AF4F8A" w:rsidP="00AF4F8A">
      <w:pPr>
        <w:pStyle w:val="Default"/>
        <w:numPr>
          <w:ilvl w:val="0"/>
          <w:numId w:val="2"/>
        </w:numPr>
        <w:rPr>
          <w:szCs w:val="23"/>
        </w:rPr>
      </w:pPr>
      <w:r w:rsidRPr="00753023">
        <w:rPr>
          <w:szCs w:val="23"/>
        </w:rPr>
        <w:t xml:space="preserve">Determine when cost sharing participation shall be waived for extreme hardship (e.g. high medical or living expenses) as determined </w:t>
      </w:r>
      <w:r w:rsidR="005F1149" w:rsidRPr="00753023">
        <w:rPr>
          <w:szCs w:val="23"/>
        </w:rPr>
        <w:t>by the AAA and the provide</w:t>
      </w:r>
      <w:r w:rsidRPr="00753023">
        <w:rPr>
          <w:szCs w:val="23"/>
        </w:rPr>
        <w:t xml:space="preserve">r; and </w:t>
      </w:r>
    </w:p>
    <w:p w:rsidR="00AF4F8A" w:rsidRPr="00753023" w:rsidRDefault="00AF4F8A" w:rsidP="00AF4F8A">
      <w:pPr>
        <w:pStyle w:val="Default"/>
        <w:numPr>
          <w:ilvl w:val="0"/>
          <w:numId w:val="2"/>
        </w:numPr>
        <w:rPr>
          <w:szCs w:val="23"/>
        </w:rPr>
      </w:pPr>
      <w:r w:rsidRPr="00753023">
        <w:rPr>
          <w:szCs w:val="23"/>
        </w:rPr>
        <w:t>Notify i</w:t>
      </w:r>
      <w:r w:rsidR="005F1149" w:rsidRPr="00753023">
        <w:rPr>
          <w:szCs w:val="23"/>
        </w:rPr>
        <w:t>ndividuals of current cost sharing</w:t>
      </w:r>
      <w:r w:rsidRPr="00753023">
        <w:rPr>
          <w:szCs w:val="23"/>
        </w:rPr>
        <w:t xml:space="preserve"> amount due</w:t>
      </w:r>
      <w:r w:rsidR="005F1149" w:rsidRPr="00753023">
        <w:rPr>
          <w:szCs w:val="23"/>
        </w:rPr>
        <w:t xml:space="preserve"> (Cost sharing “statements” may be provided but must not carry forward a balance due amount.)</w:t>
      </w:r>
      <w:r w:rsidRPr="00753023">
        <w:rPr>
          <w:szCs w:val="23"/>
        </w:rPr>
        <w:t xml:space="preserve">. </w:t>
      </w:r>
    </w:p>
    <w:p w:rsidR="00AF4F8A" w:rsidRDefault="00AF4F8A" w:rsidP="00AF4F8A">
      <w:pPr>
        <w:pStyle w:val="Default"/>
        <w:rPr>
          <w:sz w:val="23"/>
          <w:szCs w:val="23"/>
        </w:rPr>
      </w:pPr>
    </w:p>
    <w:p w:rsidR="00AF4F8A" w:rsidRPr="00AF4F8A" w:rsidRDefault="00AF4F8A" w:rsidP="00AF4F8A">
      <w:pPr>
        <w:pStyle w:val="Default"/>
        <w:rPr>
          <w:b/>
          <w:bCs/>
          <w:sz w:val="23"/>
          <w:szCs w:val="23"/>
        </w:rPr>
      </w:pPr>
      <w:r>
        <w:rPr>
          <w:b/>
          <w:bCs/>
          <w:sz w:val="23"/>
          <w:szCs w:val="23"/>
        </w:rPr>
        <w:t xml:space="preserve">Cost Sharing Sliding Scale </w:t>
      </w:r>
    </w:p>
    <w:p w:rsidR="00C75CCB" w:rsidRPr="00753023" w:rsidRDefault="005F1149" w:rsidP="00AF4F8A">
      <w:pPr>
        <w:pStyle w:val="Default"/>
        <w:rPr>
          <w:szCs w:val="23"/>
        </w:rPr>
      </w:pPr>
      <w:r w:rsidRPr="00753023">
        <w:rPr>
          <w:szCs w:val="23"/>
        </w:rPr>
        <w:t>MBA</w:t>
      </w:r>
      <w:r w:rsidR="00AF4F8A" w:rsidRPr="00753023">
        <w:rPr>
          <w:szCs w:val="23"/>
        </w:rPr>
        <w:t xml:space="preserve"> recommends a 50% c</w:t>
      </w:r>
      <w:r w:rsidRPr="00753023">
        <w:rPr>
          <w:szCs w:val="23"/>
        </w:rPr>
        <w:t>ost sharing</w:t>
      </w:r>
      <w:r w:rsidR="00AF4F8A" w:rsidRPr="00753023">
        <w:rPr>
          <w:szCs w:val="23"/>
        </w:rPr>
        <w:t xml:space="preserve"> level</w:t>
      </w:r>
      <w:r w:rsidRPr="00753023">
        <w:rPr>
          <w:szCs w:val="23"/>
        </w:rPr>
        <w:t xml:space="preserve"> of the service cost,</w:t>
      </w:r>
      <w:r w:rsidR="00AF4F8A" w:rsidRPr="00753023">
        <w:rPr>
          <w:szCs w:val="23"/>
        </w:rPr>
        <w:t xml:space="preserve"> or higher. For individuals unable </w:t>
      </w:r>
      <w:r w:rsidR="0095682C" w:rsidRPr="00753023">
        <w:rPr>
          <w:szCs w:val="23"/>
        </w:rPr>
        <w:t xml:space="preserve">or unwilling </w:t>
      </w:r>
      <w:r w:rsidRPr="00753023">
        <w:rPr>
          <w:szCs w:val="23"/>
        </w:rPr>
        <w:t xml:space="preserve">to cost </w:t>
      </w:r>
      <w:r w:rsidR="00AF4F8A" w:rsidRPr="00753023">
        <w:rPr>
          <w:szCs w:val="23"/>
        </w:rPr>
        <w:t>share at the 50% level</w:t>
      </w:r>
      <w:r w:rsidRPr="00753023">
        <w:rPr>
          <w:szCs w:val="23"/>
        </w:rPr>
        <w:t>,</w:t>
      </w:r>
      <w:r w:rsidR="00AF4F8A" w:rsidRPr="00753023">
        <w:rPr>
          <w:szCs w:val="23"/>
        </w:rPr>
        <w:t xml:space="preserve"> the cost share </w:t>
      </w:r>
      <w:r w:rsidRPr="00753023">
        <w:rPr>
          <w:szCs w:val="23"/>
        </w:rPr>
        <w:t>amount is to be determined using</w:t>
      </w:r>
      <w:r w:rsidR="00AF4F8A" w:rsidRPr="00753023">
        <w:rPr>
          <w:szCs w:val="23"/>
        </w:rPr>
        <w:t xml:space="preserve"> a </w:t>
      </w:r>
      <w:r w:rsidRPr="00753023">
        <w:rPr>
          <w:szCs w:val="23"/>
        </w:rPr>
        <w:t xml:space="preserve">cost sharing </w:t>
      </w:r>
      <w:r w:rsidR="00AF4F8A" w:rsidRPr="00753023">
        <w:rPr>
          <w:szCs w:val="23"/>
        </w:rPr>
        <w:t>sliding fee scale. The State of MN recommended scale is established on 10-25-</w:t>
      </w:r>
      <w:r w:rsidRPr="00753023">
        <w:rPr>
          <w:szCs w:val="23"/>
        </w:rPr>
        <w:t>50-100% of the cost of the service</w:t>
      </w:r>
      <w:r w:rsidR="00AF4F8A" w:rsidRPr="00753023">
        <w:rPr>
          <w:szCs w:val="23"/>
        </w:rPr>
        <w:t xml:space="preserve"> and applicable to the individual’s income level at: greater than 100%, greater than 150%, greater than 200%, and greater than 250% of the Federal Poverty Guidelines (see </w:t>
      </w:r>
      <w:r w:rsidR="0095682C" w:rsidRPr="00753023">
        <w:rPr>
          <w:szCs w:val="23"/>
        </w:rPr>
        <w:t>Title III Cost-Share Sliding Scale Example)</w:t>
      </w:r>
      <w:r w:rsidR="00AF4F8A" w:rsidRPr="00753023">
        <w:rPr>
          <w:szCs w:val="23"/>
        </w:rPr>
        <w:t>.</w:t>
      </w:r>
      <w:r w:rsidRPr="00753023">
        <w:rPr>
          <w:szCs w:val="23"/>
        </w:rPr>
        <w:t xml:space="preserve"> Providers</w:t>
      </w:r>
      <w:r w:rsidR="00AF4F8A" w:rsidRPr="00753023">
        <w:rPr>
          <w:szCs w:val="23"/>
        </w:rPr>
        <w:t xml:space="preserve"> must establish the scale based solely on the gross income level of the in</w:t>
      </w:r>
      <w:r w:rsidRPr="00753023">
        <w:rPr>
          <w:szCs w:val="23"/>
        </w:rPr>
        <w:t>dividual and cost of the service</w:t>
      </w:r>
      <w:r w:rsidR="00AF4F8A" w:rsidRPr="00753023">
        <w:rPr>
          <w:szCs w:val="23"/>
        </w:rPr>
        <w:t xml:space="preserve">. </w:t>
      </w:r>
    </w:p>
    <w:p w:rsidR="005F1149" w:rsidRPr="00753023" w:rsidRDefault="005F1149" w:rsidP="00AF4F8A">
      <w:pPr>
        <w:pStyle w:val="Default"/>
        <w:rPr>
          <w:szCs w:val="23"/>
        </w:rPr>
      </w:pPr>
    </w:p>
    <w:p w:rsidR="00AF4F8A" w:rsidRDefault="005F1149" w:rsidP="00AF4F8A">
      <w:pPr>
        <w:pStyle w:val="Default"/>
        <w:rPr>
          <w:sz w:val="23"/>
          <w:szCs w:val="23"/>
        </w:rPr>
      </w:pPr>
      <w:r w:rsidRPr="00753023">
        <w:rPr>
          <w:szCs w:val="23"/>
        </w:rPr>
        <w:t>Providers</w:t>
      </w:r>
      <w:r w:rsidR="00AF4F8A" w:rsidRPr="00753023">
        <w:rPr>
          <w:szCs w:val="23"/>
        </w:rPr>
        <w:t xml:space="preserve"> must submit a copy of the sliding fee scale (s) and related client education and notification ma</w:t>
      </w:r>
      <w:r w:rsidRPr="00753023">
        <w:rPr>
          <w:szCs w:val="23"/>
        </w:rPr>
        <w:t>terials to M</w:t>
      </w:r>
      <w:r w:rsidRPr="00753023">
        <w:rPr>
          <w:sz w:val="22"/>
          <w:szCs w:val="23"/>
        </w:rPr>
        <w:t>N</w:t>
      </w:r>
      <w:r w:rsidRPr="00753023">
        <w:rPr>
          <w:szCs w:val="23"/>
        </w:rPr>
        <w:t>RAAA</w:t>
      </w:r>
      <w:r w:rsidR="00AF4F8A" w:rsidRPr="00753023">
        <w:rPr>
          <w:szCs w:val="23"/>
        </w:rPr>
        <w:t xml:space="preserve"> for review, comment and approval. Variations in the scale that comply with the intent of the cost share policy and encourage financial contributions by users are allowed. Scales that </w:t>
      </w:r>
      <w:r w:rsidR="00B05A13" w:rsidRPr="00753023">
        <w:rPr>
          <w:szCs w:val="23"/>
        </w:rPr>
        <w:t>vary from the recommended scale</w:t>
      </w:r>
      <w:r w:rsidR="00AF4F8A" w:rsidRPr="00753023">
        <w:rPr>
          <w:szCs w:val="23"/>
        </w:rPr>
        <w:t xml:space="preserve"> must be approved by </w:t>
      </w:r>
      <w:r w:rsidR="00B05A13" w:rsidRPr="00753023">
        <w:rPr>
          <w:szCs w:val="23"/>
        </w:rPr>
        <w:t>M</w:t>
      </w:r>
      <w:r w:rsidR="00B05A13" w:rsidRPr="00753023">
        <w:rPr>
          <w:sz w:val="22"/>
          <w:szCs w:val="23"/>
        </w:rPr>
        <w:t>N</w:t>
      </w:r>
      <w:r w:rsidR="00B05A13" w:rsidRPr="00753023">
        <w:rPr>
          <w:szCs w:val="23"/>
        </w:rPr>
        <w:t>R</w:t>
      </w:r>
      <w:r w:rsidR="00AF4F8A" w:rsidRPr="00753023">
        <w:rPr>
          <w:szCs w:val="23"/>
        </w:rPr>
        <w:t xml:space="preserve">AAA prior to implementation. </w:t>
      </w:r>
    </w:p>
    <w:p w:rsidR="00AF4F8A" w:rsidRDefault="00AF4F8A" w:rsidP="00AF4F8A">
      <w:pPr>
        <w:pStyle w:val="Default"/>
        <w:rPr>
          <w:sz w:val="23"/>
          <w:szCs w:val="23"/>
        </w:rPr>
      </w:pPr>
    </w:p>
    <w:p w:rsidR="00AF4F8A" w:rsidRDefault="00AF4F8A" w:rsidP="00AF4F8A">
      <w:pPr>
        <w:pStyle w:val="Default"/>
        <w:rPr>
          <w:sz w:val="28"/>
          <w:szCs w:val="28"/>
        </w:rPr>
      </w:pPr>
      <w:r>
        <w:rPr>
          <w:b/>
          <w:bCs/>
          <w:sz w:val="28"/>
          <w:szCs w:val="28"/>
        </w:rPr>
        <w:t>Voluntary Contribution</w:t>
      </w:r>
      <w:r w:rsidR="00062304">
        <w:rPr>
          <w:b/>
          <w:bCs/>
          <w:sz w:val="28"/>
          <w:szCs w:val="28"/>
        </w:rPr>
        <w:t>s</w:t>
      </w:r>
      <w:r>
        <w:rPr>
          <w:b/>
          <w:bCs/>
          <w:sz w:val="28"/>
          <w:szCs w:val="28"/>
        </w:rPr>
        <w:t xml:space="preserve"> Policies: </w:t>
      </w:r>
    </w:p>
    <w:p w:rsidR="00AF4F8A" w:rsidRPr="00753023" w:rsidRDefault="00AF4F8A" w:rsidP="00AF4F8A">
      <w:pPr>
        <w:pStyle w:val="Default"/>
        <w:rPr>
          <w:szCs w:val="23"/>
        </w:rPr>
      </w:pPr>
      <w:r w:rsidRPr="00753023">
        <w:rPr>
          <w:szCs w:val="23"/>
        </w:rPr>
        <w:t xml:space="preserve">All other </w:t>
      </w:r>
      <w:r w:rsidR="006A2E17" w:rsidRPr="00753023">
        <w:rPr>
          <w:szCs w:val="23"/>
        </w:rPr>
        <w:t xml:space="preserve">Title III </w:t>
      </w:r>
      <w:r w:rsidRPr="00753023">
        <w:rPr>
          <w:szCs w:val="23"/>
        </w:rPr>
        <w:t xml:space="preserve">services, including those for which cost sharing is not required, are to establish and implement a voluntary contribution policy. </w:t>
      </w:r>
    </w:p>
    <w:p w:rsidR="006A2E17" w:rsidRPr="00753023" w:rsidRDefault="006A2E17" w:rsidP="00AF4F8A">
      <w:pPr>
        <w:pStyle w:val="Default"/>
        <w:rPr>
          <w:szCs w:val="23"/>
        </w:rPr>
      </w:pPr>
    </w:p>
    <w:p w:rsidR="00AF4F8A" w:rsidRPr="00753023" w:rsidRDefault="00AF4F8A" w:rsidP="00AF4F8A">
      <w:pPr>
        <w:pStyle w:val="Default"/>
        <w:rPr>
          <w:szCs w:val="23"/>
        </w:rPr>
      </w:pPr>
      <w:r w:rsidRPr="00753023">
        <w:rPr>
          <w:szCs w:val="23"/>
        </w:rPr>
        <w:t>The Older Americans Act (Sec. 315a) and MBA guidance re</w:t>
      </w:r>
      <w:r w:rsidR="006A2E17" w:rsidRPr="00753023">
        <w:rPr>
          <w:szCs w:val="23"/>
        </w:rPr>
        <w:t>quires that providers</w:t>
      </w:r>
      <w:r w:rsidRPr="00753023">
        <w:rPr>
          <w:szCs w:val="23"/>
        </w:rPr>
        <w:t xml:space="preserve"> will: </w:t>
      </w:r>
    </w:p>
    <w:p w:rsidR="00AF4F8A" w:rsidRPr="00753023" w:rsidRDefault="006A2E17" w:rsidP="00AF4F8A">
      <w:pPr>
        <w:pStyle w:val="Default"/>
        <w:numPr>
          <w:ilvl w:val="0"/>
          <w:numId w:val="8"/>
        </w:numPr>
        <w:rPr>
          <w:szCs w:val="23"/>
        </w:rPr>
      </w:pPr>
      <w:r w:rsidRPr="00753023">
        <w:rPr>
          <w:szCs w:val="23"/>
        </w:rPr>
        <w:t>Provide individuals</w:t>
      </w:r>
      <w:r w:rsidR="00AF4F8A" w:rsidRPr="00753023">
        <w:rPr>
          <w:szCs w:val="23"/>
        </w:rPr>
        <w:t xml:space="preserve"> with an opportunity to voluntarily contribute to the cost of a service; </w:t>
      </w:r>
    </w:p>
    <w:p w:rsidR="006A2E17" w:rsidRDefault="006A2E17" w:rsidP="006A2E17">
      <w:pPr>
        <w:pStyle w:val="Default"/>
        <w:numPr>
          <w:ilvl w:val="0"/>
          <w:numId w:val="8"/>
        </w:numPr>
        <w:rPr>
          <w:szCs w:val="23"/>
        </w:rPr>
      </w:pPr>
      <w:r w:rsidRPr="00753023">
        <w:rPr>
          <w:szCs w:val="23"/>
        </w:rPr>
        <w:t>Clearly inform each individual</w:t>
      </w:r>
      <w:r w:rsidR="00AF4F8A" w:rsidRPr="00753023">
        <w:rPr>
          <w:szCs w:val="23"/>
        </w:rPr>
        <w:t xml:space="preserve"> that service will not be denied due to inability or unwillingness to pay;</w:t>
      </w:r>
    </w:p>
    <w:p w:rsidR="00753023" w:rsidRDefault="00753023" w:rsidP="00753023">
      <w:pPr>
        <w:pStyle w:val="Default"/>
        <w:ind w:left="720"/>
        <w:rPr>
          <w:szCs w:val="23"/>
        </w:rPr>
      </w:pPr>
    </w:p>
    <w:p w:rsidR="00753023" w:rsidRPr="00753023" w:rsidRDefault="00753023" w:rsidP="00753023">
      <w:pPr>
        <w:pStyle w:val="Default"/>
        <w:ind w:left="720"/>
        <w:rPr>
          <w:szCs w:val="23"/>
        </w:rPr>
      </w:pPr>
    </w:p>
    <w:p w:rsidR="00AF4F8A" w:rsidRPr="00753023" w:rsidRDefault="00AF4F8A" w:rsidP="006A2E17">
      <w:pPr>
        <w:pStyle w:val="Default"/>
        <w:numPr>
          <w:ilvl w:val="0"/>
          <w:numId w:val="8"/>
        </w:numPr>
        <w:rPr>
          <w:szCs w:val="23"/>
        </w:rPr>
      </w:pPr>
      <w:r w:rsidRPr="00753023">
        <w:rPr>
          <w:szCs w:val="23"/>
        </w:rPr>
        <w:t>Protect the privacy and c</w:t>
      </w:r>
      <w:r w:rsidR="006A2E17" w:rsidRPr="00753023">
        <w:rPr>
          <w:szCs w:val="23"/>
        </w:rPr>
        <w:t>onfidentiality of each individual</w:t>
      </w:r>
      <w:r w:rsidRPr="00753023">
        <w:rPr>
          <w:szCs w:val="23"/>
        </w:rPr>
        <w:t xml:space="preserve"> </w:t>
      </w:r>
      <w:r w:rsidR="006A2E17" w:rsidRPr="00753023">
        <w:rPr>
          <w:szCs w:val="23"/>
        </w:rPr>
        <w:t xml:space="preserve">with respect to their </w:t>
      </w:r>
      <w:r w:rsidRPr="00753023">
        <w:rPr>
          <w:szCs w:val="23"/>
        </w:rPr>
        <w:t xml:space="preserve">contribution or lack of contribution; </w:t>
      </w:r>
    </w:p>
    <w:p w:rsidR="00AF4F8A" w:rsidRPr="00753023" w:rsidRDefault="00AF4F8A" w:rsidP="00AF4F8A">
      <w:pPr>
        <w:pStyle w:val="Default"/>
        <w:numPr>
          <w:ilvl w:val="0"/>
          <w:numId w:val="8"/>
        </w:numPr>
        <w:rPr>
          <w:szCs w:val="23"/>
        </w:rPr>
      </w:pPr>
      <w:r w:rsidRPr="00753023">
        <w:rPr>
          <w:szCs w:val="23"/>
        </w:rPr>
        <w:t xml:space="preserve">Establish appropriate procedures to safeguard and account for all contributions; </w:t>
      </w:r>
    </w:p>
    <w:p w:rsidR="00AF4F8A" w:rsidRPr="00753023" w:rsidRDefault="00AF4F8A" w:rsidP="00AF4F8A">
      <w:pPr>
        <w:pStyle w:val="Default"/>
        <w:numPr>
          <w:ilvl w:val="0"/>
          <w:numId w:val="8"/>
        </w:numPr>
        <w:rPr>
          <w:szCs w:val="23"/>
        </w:rPr>
      </w:pPr>
      <w:r w:rsidRPr="00753023">
        <w:rPr>
          <w:szCs w:val="23"/>
        </w:rPr>
        <w:t xml:space="preserve">Have in place a schedule of suggested contributions; and </w:t>
      </w:r>
    </w:p>
    <w:p w:rsidR="00AF4F8A" w:rsidRPr="00753023" w:rsidRDefault="00AF4F8A" w:rsidP="00AF4F8A">
      <w:pPr>
        <w:pStyle w:val="Default"/>
        <w:numPr>
          <w:ilvl w:val="0"/>
          <w:numId w:val="8"/>
        </w:numPr>
        <w:rPr>
          <w:szCs w:val="23"/>
        </w:rPr>
      </w:pPr>
      <w:r w:rsidRPr="00753023">
        <w:rPr>
          <w:szCs w:val="23"/>
        </w:rPr>
        <w:t>Use all collected contribution</w:t>
      </w:r>
      <w:r w:rsidR="00CD3FD8">
        <w:rPr>
          <w:szCs w:val="23"/>
        </w:rPr>
        <w:t>s</w:t>
      </w:r>
      <w:bookmarkStart w:id="0" w:name="_GoBack"/>
      <w:bookmarkEnd w:id="0"/>
      <w:r w:rsidRPr="00753023">
        <w:rPr>
          <w:szCs w:val="23"/>
        </w:rPr>
        <w:t xml:space="preserve"> to expand the service for which the contributions were given. </w:t>
      </w:r>
    </w:p>
    <w:p w:rsidR="00AF4F8A" w:rsidRPr="00753023" w:rsidRDefault="00AF4F8A" w:rsidP="00AF4F8A">
      <w:pPr>
        <w:pStyle w:val="Default"/>
        <w:rPr>
          <w:szCs w:val="23"/>
        </w:rPr>
      </w:pPr>
    </w:p>
    <w:p w:rsidR="00AF4F8A" w:rsidRPr="00753023" w:rsidRDefault="00753023" w:rsidP="00AF4F8A">
      <w:pPr>
        <w:pStyle w:val="Default"/>
        <w:rPr>
          <w:szCs w:val="23"/>
        </w:rPr>
      </w:pPr>
      <w:r>
        <w:rPr>
          <w:szCs w:val="23"/>
        </w:rPr>
        <w:t>Providers</w:t>
      </w:r>
      <w:r w:rsidR="00AF4F8A" w:rsidRPr="00753023">
        <w:rPr>
          <w:szCs w:val="23"/>
        </w:rPr>
        <w:t xml:space="preserve"> who utilize voluntary contribution policies </w:t>
      </w:r>
      <w:r w:rsidR="00AF4F8A" w:rsidRPr="00753023">
        <w:rPr>
          <w:szCs w:val="23"/>
          <w:u w:val="single"/>
        </w:rPr>
        <w:t>cannot</w:t>
      </w:r>
      <w:r w:rsidR="00AF4F8A" w:rsidRPr="00753023">
        <w:rPr>
          <w:szCs w:val="23"/>
        </w:rPr>
        <w:t xml:space="preserve">: </w:t>
      </w:r>
    </w:p>
    <w:p w:rsidR="00AF4F8A" w:rsidRPr="00753023" w:rsidRDefault="00753023" w:rsidP="00AF4F8A">
      <w:pPr>
        <w:pStyle w:val="Default"/>
        <w:rPr>
          <w:szCs w:val="23"/>
        </w:rPr>
      </w:pPr>
      <w:r>
        <w:rPr>
          <w:szCs w:val="23"/>
        </w:rPr>
        <w:tab/>
      </w:r>
      <w:r w:rsidR="00AF4F8A" w:rsidRPr="00753023">
        <w:rPr>
          <w:szCs w:val="23"/>
        </w:rPr>
        <w:t xml:space="preserve">• </w:t>
      </w:r>
      <w:r>
        <w:rPr>
          <w:szCs w:val="23"/>
        </w:rPr>
        <w:t>Mandate a fee or rate; or</w:t>
      </w:r>
    </w:p>
    <w:p w:rsidR="00381E70" w:rsidRPr="00753023" w:rsidRDefault="00753023" w:rsidP="00AF4F8A">
      <w:pPr>
        <w:pStyle w:val="Default"/>
        <w:rPr>
          <w:szCs w:val="23"/>
        </w:rPr>
      </w:pPr>
      <w:r>
        <w:rPr>
          <w:szCs w:val="23"/>
        </w:rPr>
        <w:tab/>
      </w:r>
      <w:r w:rsidR="00AF4F8A" w:rsidRPr="00753023">
        <w:rPr>
          <w:szCs w:val="23"/>
        </w:rPr>
        <w:t>• Means test for any service</w:t>
      </w:r>
      <w:r>
        <w:rPr>
          <w:szCs w:val="23"/>
        </w:rPr>
        <w:t>.</w:t>
      </w:r>
      <w:r w:rsidR="00AF4F8A" w:rsidRPr="00753023">
        <w:rPr>
          <w:szCs w:val="23"/>
        </w:rPr>
        <w:t xml:space="preserve"> </w:t>
      </w:r>
    </w:p>
    <w:p w:rsidR="00E553E6" w:rsidRPr="00753023" w:rsidRDefault="00E553E6" w:rsidP="00AF4F8A">
      <w:pPr>
        <w:pStyle w:val="Default"/>
        <w:rPr>
          <w:szCs w:val="23"/>
        </w:rPr>
      </w:pPr>
    </w:p>
    <w:p w:rsidR="00E553E6" w:rsidRPr="00753023" w:rsidRDefault="00E553E6" w:rsidP="00AF4F8A">
      <w:pPr>
        <w:pStyle w:val="Default"/>
        <w:rPr>
          <w:szCs w:val="23"/>
        </w:rPr>
      </w:pPr>
    </w:p>
    <w:p w:rsidR="00E553E6" w:rsidRPr="00753023" w:rsidRDefault="00E553E6" w:rsidP="00AF4F8A">
      <w:pPr>
        <w:pStyle w:val="Default"/>
        <w:rPr>
          <w:szCs w:val="23"/>
        </w:rPr>
      </w:pPr>
    </w:p>
    <w:p w:rsidR="00381E70" w:rsidRPr="00753023" w:rsidRDefault="00381E70" w:rsidP="00AF4F8A">
      <w:pPr>
        <w:pStyle w:val="Default"/>
        <w:rPr>
          <w:szCs w:val="23"/>
        </w:rPr>
      </w:pPr>
    </w:p>
    <w:p w:rsidR="00381E70" w:rsidRPr="00753023" w:rsidRDefault="00381E70" w:rsidP="00AF4F8A">
      <w:pPr>
        <w:pStyle w:val="Default"/>
        <w:rPr>
          <w:szCs w:val="23"/>
        </w:rPr>
      </w:pPr>
    </w:p>
    <w:p w:rsidR="009F391C" w:rsidRPr="00753023" w:rsidRDefault="00381E70" w:rsidP="00AF4F8A">
      <w:pPr>
        <w:pStyle w:val="Default"/>
        <w:rPr>
          <w:sz w:val="22"/>
        </w:rPr>
      </w:pPr>
      <w:r w:rsidRPr="00753023">
        <w:rPr>
          <w:sz w:val="22"/>
          <w:u w:val="single"/>
        </w:rPr>
        <w:t>Note</w:t>
      </w:r>
      <w:r w:rsidRPr="00753023">
        <w:rPr>
          <w:sz w:val="22"/>
        </w:rPr>
        <w:t xml:space="preserve">: </w:t>
      </w:r>
      <w:r w:rsidR="00753023">
        <w:rPr>
          <w:sz w:val="22"/>
        </w:rPr>
        <w:t>MBA</w:t>
      </w:r>
      <w:r w:rsidR="00B66E81" w:rsidRPr="00753023">
        <w:rPr>
          <w:sz w:val="22"/>
        </w:rPr>
        <w:t xml:space="preserve"> is allowing Area Agencies to phase in the implementation</w:t>
      </w:r>
      <w:r w:rsidR="00753023">
        <w:rPr>
          <w:sz w:val="22"/>
        </w:rPr>
        <w:t xml:space="preserve"> of Cost Sharing Policies. See M</w:t>
      </w:r>
      <w:r w:rsidR="00753023" w:rsidRPr="00753023">
        <w:rPr>
          <w:sz w:val="18"/>
        </w:rPr>
        <w:t>N</w:t>
      </w:r>
      <w:r w:rsidR="00753023">
        <w:rPr>
          <w:sz w:val="22"/>
        </w:rPr>
        <w:t>R</w:t>
      </w:r>
      <w:r w:rsidR="00B66E81" w:rsidRPr="00753023">
        <w:rPr>
          <w:sz w:val="22"/>
        </w:rPr>
        <w:t xml:space="preserve">AAA Cost Sharing Implementation Timeline for </w:t>
      </w:r>
      <w:r w:rsidR="00753023">
        <w:rPr>
          <w:sz w:val="22"/>
        </w:rPr>
        <w:t xml:space="preserve">when specific Title III </w:t>
      </w:r>
      <w:r w:rsidR="00B66E81" w:rsidRPr="00753023">
        <w:rPr>
          <w:sz w:val="22"/>
        </w:rPr>
        <w:t xml:space="preserve">services will begin implementation. </w:t>
      </w:r>
    </w:p>
    <w:sectPr w:rsidR="009F391C" w:rsidRPr="00753023" w:rsidSect="00844D4E">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9B2" w:rsidRDefault="002869B2" w:rsidP="00381E70">
      <w:r>
        <w:separator/>
      </w:r>
    </w:p>
  </w:endnote>
  <w:endnote w:type="continuationSeparator" w:id="0">
    <w:p w:rsidR="002869B2" w:rsidRDefault="002869B2" w:rsidP="0038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9944676"/>
      <w:docPartObj>
        <w:docPartGallery w:val="Page Numbers (Bottom of Page)"/>
        <w:docPartUnique/>
      </w:docPartObj>
    </w:sdtPr>
    <w:sdtEndPr>
      <w:rPr>
        <w:noProof/>
      </w:rPr>
    </w:sdtEndPr>
    <w:sdtContent>
      <w:p w:rsidR="005F1149" w:rsidRDefault="005F1149">
        <w:pPr>
          <w:pStyle w:val="Footer"/>
          <w:jc w:val="right"/>
        </w:pPr>
        <w:r>
          <w:fldChar w:fldCharType="begin"/>
        </w:r>
        <w:r>
          <w:instrText xml:space="preserve"> PAGE   \* MERGEFORMAT </w:instrText>
        </w:r>
        <w:r>
          <w:fldChar w:fldCharType="separate"/>
        </w:r>
        <w:r w:rsidR="00CD3FD8">
          <w:rPr>
            <w:noProof/>
          </w:rPr>
          <w:t>3</w:t>
        </w:r>
        <w:r>
          <w:rPr>
            <w:noProof/>
          </w:rPr>
          <w:fldChar w:fldCharType="end"/>
        </w:r>
      </w:p>
    </w:sdtContent>
  </w:sdt>
  <w:p w:rsidR="005F1149" w:rsidRDefault="005F1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9B2" w:rsidRDefault="002869B2" w:rsidP="00381E70">
      <w:r>
        <w:separator/>
      </w:r>
    </w:p>
  </w:footnote>
  <w:footnote w:type="continuationSeparator" w:id="0">
    <w:p w:rsidR="002869B2" w:rsidRDefault="002869B2" w:rsidP="00381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149" w:rsidRPr="00A17758" w:rsidRDefault="005F1149">
    <w:pPr>
      <w:pStyle w:val="Header"/>
      <w:rPr>
        <w:rFonts w:asciiTheme="minorHAnsi" w:hAnsiTheme="minorHAnsi" w:cstheme="minorHAnsi"/>
        <w:b/>
        <w:sz w:val="22"/>
        <w:szCs w:val="22"/>
      </w:rPr>
    </w:pPr>
    <w:r>
      <w:tab/>
      <w:t xml:space="preserve"> </w:t>
    </w:r>
    <w:r>
      <w:tab/>
    </w:r>
    <w:r w:rsidRPr="00A17758">
      <w:rPr>
        <w:rFonts w:asciiTheme="minorHAnsi" w:hAnsiTheme="minorHAnsi" w:cstheme="minorHAnsi"/>
        <w:b/>
        <w:sz w:val="22"/>
        <w:szCs w:val="22"/>
      </w:rPr>
      <w:t>A</w:t>
    </w:r>
    <w:r>
      <w:rPr>
        <w:rFonts w:asciiTheme="minorHAnsi" w:hAnsiTheme="minorHAnsi" w:cstheme="minorHAnsi"/>
        <w:b/>
        <w:sz w:val="22"/>
        <w:szCs w:val="22"/>
      </w:rPr>
      <w:t>.</w:t>
    </w:r>
    <w:r w:rsidRPr="00A17758">
      <w:rPr>
        <w:rFonts w:asciiTheme="minorHAnsi" w:hAnsiTheme="minorHAnsi" w:cstheme="minorHAnsi"/>
        <w:b/>
        <w:sz w:val="22"/>
        <w:szCs w:val="22"/>
      </w:rPr>
      <w:t xml:space="preserve"> </w:t>
    </w:r>
    <w:r>
      <w:rPr>
        <w:rFonts w:asciiTheme="minorHAnsi" w:hAnsiTheme="minorHAnsi" w:cstheme="minorHAnsi"/>
        <w:b/>
        <w:sz w:val="22"/>
        <w:szCs w:val="22"/>
      </w:rPr>
      <w:t xml:space="preserve">   M</w:t>
    </w:r>
    <w:r w:rsidRPr="00844D4E">
      <w:rPr>
        <w:rFonts w:asciiTheme="minorHAnsi" w:hAnsiTheme="minorHAnsi" w:cstheme="minorHAnsi"/>
        <w:b/>
        <w:sz w:val="18"/>
        <w:szCs w:val="22"/>
      </w:rPr>
      <w:t>N</w:t>
    </w:r>
    <w:r>
      <w:rPr>
        <w:rFonts w:asciiTheme="minorHAnsi" w:hAnsiTheme="minorHAnsi" w:cstheme="minorHAnsi"/>
        <w:b/>
        <w:sz w:val="22"/>
        <w:szCs w:val="22"/>
      </w:rPr>
      <w:t xml:space="preserve">RAAA Policies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3E22"/>
    <w:multiLevelType w:val="hybridMultilevel"/>
    <w:tmpl w:val="8292A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D26DA"/>
    <w:multiLevelType w:val="hybridMultilevel"/>
    <w:tmpl w:val="403CA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7A7A77"/>
    <w:multiLevelType w:val="hybridMultilevel"/>
    <w:tmpl w:val="0840C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FB5665"/>
    <w:multiLevelType w:val="hybridMultilevel"/>
    <w:tmpl w:val="FFA6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20685"/>
    <w:multiLevelType w:val="hybridMultilevel"/>
    <w:tmpl w:val="79AEAA84"/>
    <w:lvl w:ilvl="0" w:tplc="BC78E3E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BC6A59"/>
    <w:multiLevelType w:val="hybridMultilevel"/>
    <w:tmpl w:val="5D5E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C34F92"/>
    <w:multiLevelType w:val="hybridMultilevel"/>
    <w:tmpl w:val="0E3A1AEC"/>
    <w:lvl w:ilvl="0" w:tplc="BC78E3E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5D3D59"/>
    <w:multiLevelType w:val="hybridMultilevel"/>
    <w:tmpl w:val="81B2EE04"/>
    <w:lvl w:ilvl="0" w:tplc="BC78E3E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8A"/>
    <w:rsid w:val="00062304"/>
    <w:rsid w:val="000755FB"/>
    <w:rsid w:val="000B16DA"/>
    <w:rsid w:val="00142D37"/>
    <w:rsid w:val="001F1EE8"/>
    <w:rsid w:val="00230E61"/>
    <w:rsid w:val="002633BD"/>
    <w:rsid w:val="002869B2"/>
    <w:rsid w:val="002D4CD5"/>
    <w:rsid w:val="0031528D"/>
    <w:rsid w:val="00381E70"/>
    <w:rsid w:val="004264C0"/>
    <w:rsid w:val="004B280C"/>
    <w:rsid w:val="005308B4"/>
    <w:rsid w:val="00565759"/>
    <w:rsid w:val="005B649B"/>
    <w:rsid w:val="005F1149"/>
    <w:rsid w:val="00623998"/>
    <w:rsid w:val="006A2E17"/>
    <w:rsid w:val="006B6DD5"/>
    <w:rsid w:val="00753023"/>
    <w:rsid w:val="00844D4E"/>
    <w:rsid w:val="008D424E"/>
    <w:rsid w:val="008E10DC"/>
    <w:rsid w:val="00952CB8"/>
    <w:rsid w:val="0095682C"/>
    <w:rsid w:val="009726AE"/>
    <w:rsid w:val="00982645"/>
    <w:rsid w:val="009F2591"/>
    <w:rsid w:val="009F391C"/>
    <w:rsid w:val="00A17758"/>
    <w:rsid w:val="00A46E1C"/>
    <w:rsid w:val="00A50C3B"/>
    <w:rsid w:val="00AA6392"/>
    <w:rsid w:val="00AF4F8A"/>
    <w:rsid w:val="00B05A13"/>
    <w:rsid w:val="00B66E81"/>
    <w:rsid w:val="00B742CB"/>
    <w:rsid w:val="00C22853"/>
    <w:rsid w:val="00C63D20"/>
    <w:rsid w:val="00C66AD7"/>
    <w:rsid w:val="00C75CCB"/>
    <w:rsid w:val="00CD3FD8"/>
    <w:rsid w:val="00CE37F2"/>
    <w:rsid w:val="00D04C49"/>
    <w:rsid w:val="00D951E3"/>
    <w:rsid w:val="00E022DC"/>
    <w:rsid w:val="00E553E6"/>
    <w:rsid w:val="00E82596"/>
    <w:rsid w:val="00F47F47"/>
    <w:rsid w:val="00F97440"/>
    <w:rsid w:val="00FD6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F8A"/>
    <w:pPr>
      <w:autoSpaceDE w:val="0"/>
      <w:autoSpaceDN w:val="0"/>
      <w:adjustRightInd w:val="0"/>
    </w:pPr>
    <w:rPr>
      <w:color w:val="000000"/>
      <w:sz w:val="24"/>
      <w:szCs w:val="24"/>
    </w:rPr>
  </w:style>
  <w:style w:type="paragraph" w:styleId="Header">
    <w:name w:val="header"/>
    <w:basedOn w:val="Normal"/>
    <w:link w:val="HeaderChar"/>
    <w:rsid w:val="00381E70"/>
    <w:pPr>
      <w:tabs>
        <w:tab w:val="center" w:pos="4680"/>
        <w:tab w:val="right" w:pos="9360"/>
      </w:tabs>
    </w:pPr>
  </w:style>
  <w:style w:type="character" w:customStyle="1" w:styleId="HeaderChar">
    <w:name w:val="Header Char"/>
    <w:basedOn w:val="DefaultParagraphFont"/>
    <w:link w:val="Header"/>
    <w:rsid w:val="00381E70"/>
    <w:rPr>
      <w:sz w:val="24"/>
      <w:szCs w:val="24"/>
    </w:rPr>
  </w:style>
  <w:style w:type="paragraph" w:styleId="Footer">
    <w:name w:val="footer"/>
    <w:basedOn w:val="Normal"/>
    <w:link w:val="FooterChar"/>
    <w:uiPriority w:val="99"/>
    <w:rsid w:val="00381E70"/>
    <w:pPr>
      <w:tabs>
        <w:tab w:val="center" w:pos="4680"/>
        <w:tab w:val="right" w:pos="9360"/>
      </w:tabs>
    </w:pPr>
  </w:style>
  <w:style w:type="character" w:customStyle="1" w:styleId="FooterChar">
    <w:name w:val="Footer Char"/>
    <w:basedOn w:val="DefaultParagraphFont"/>
    <w:link w:val="Footer"/>
    <w:uiPriority w:val="99"/>
    <w:rsid w:val="00381E70"/>
    <w:rPr>
      <w:sz w:val="24"/>
      <w:szCs w:val="24"/>
    </w:rPr>
  </w:style>
  <w:style w:type="paragraph" w:styleId="BalloonText">
    <w:name w:val="Balloon Text"/>
    <w:basedOn w:val="Normal"/>
    <w:link w:val="BalloonTextChar"/>
    <w:rsid w:val="00844D4E"/>
    <w:rPr>
      <w:rFonts w:ascii="Tahoma" w:hAnsi="Tahoma" w:cs="Tahoma"/>
      <w:sz w:val="16"/>
      <w:szCs w:val="16"/>
    </w:rPr>
  </w:style>
  <w:style w:type="character" w:customStyle="1" w:styleId="BalloonTextChar">
    <w:name w:val="Balloon Text Char"/>
    <w:basedOn w:val="DefaultParagraphFont"/>
    <w:link w:val="BalloonText"/>
    <w:rsid w:val="00844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4F8A"/>
    <w:pPr>
      <w:autoSpaceDE w:val="0"/>
      <w:autoSpaceDN w:val="0"/>
      <w:adjustRightInd w:val="0"/>
    </w:pPr>
    <w:rPr>
      <w:color w:val="000000"/>
      <w:sz w:val="24"/>
      <w:szCs w:val="24"/>
    </w:rPr>
  </w:style>
  <w:style w:type="paragraph" w:styleId="Header">
    <w:name w:val="header"/>
    <w:basedOn w:val="Normal"/>
    <w:link w:val="HeaderChar"/>
    <w:rsid w:val="00381E70"/>
    <w:pPr>
      <w:tabs>
        <w:tab w:val="center" w:pos="4680"/>
        <w:tab w:val="right" w:pos="9360"/>
      </w:tabs>
    </w:pPr>
  </w:style>
  <w:style w:type="character" w:customStyle="1" w:styleId="HeaderChar">
    <w:name w:val="Header Char"/>
    <w:basedOn w:val="DefaultParagraphFont"/>
    <w:link w:val="Header"/>
    <w:rsid w:val="00381E70"/>
    <w:rPr>
      <w:sz w:val="24"/>
      <w:szCs w:val="24"/>
    </w:rPr>
  </w:style>
  <w:style w:type="paragraph" w:styleId="Footer">
    <w:name w:val="footer"/>
    <w:basedOn w:val="Normal"/>
    <w:link w:val="FooterChar"/>
    <w:uiPriority w:val="99"/>
    <w:rsid w:val="00381E70"/>
    <w:pPr>
      <w:tabs>
        <w:tab w:val="center" w:pos="4680"/>
        <w:tab w:val="right" w:pos="9360"/>
      </w:tabs>
    </w:pPr>
  </w:style>
  <w:style w:type="character" w:customStyle="1" w:styleId="FooterChar">
    <w:name w:val="Footer Char"/>
    <w:basedOn w:val="DefaultParagraphFont"/>
    <w:link w:val="Footer"/>
    <w:uiPriority w:val="99"/>
    <w:rsid w:val="00381E70"/>
    <w:rPr>
      <w:sz w:val="24"/>
      <w:szCs w:val="24"/>
    </w:rPr>
  </w:style>
  <w:style w:type="paragraph" w:styleId="BalloonText">
    <w:name w:val="Balloon Text"/>
    <w:basedOn w:val="Normal"/>
    <w:link w:val="BalloonTextChar"/>
    <w:rsid w:val="00844D4E"/>
    <w:rPr>
      <w:rFonts w:ascii="Tahoma" w:hAnsi="Tahoma" w:cs="Tahoma"/>
      <w:sz w:val="16"/>
      <w:szCs w:val="16"/>
    </w:rPr>
  </w:style>
  <w:style w:type="character" w:customStyle="1" w:styleId="BalloonTextChar">
    <w:name w:val="Balloon Text Char"/>
    <w:basedOn w:val="DefaultParagraphFont"/>
    <w:link w:val="BalloonText"/>
    <w:rsid w:val="00844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Conkins</dc:creator>
  <cp:keywords/>
  <dc:description/>
  <cp:lastModifiedBy> Rhonda Hiller Fjeldberg</cp:lastModifiedBy>
  <cp:revision>6</cp:revision>
  <cp:lastPrinted>2012-04-23T15:22:00Z</cp:lastPrinted>
  <dcterms:created xsi:type="dcterms:W3CDTF">2012-04-20T19:38:00Z</dcterms:created>
  <dcterms:modified xsi:type="dcterms:W3CDTF">2012-04-23T15:25:00Z</dcterms:modified>
</cp:coreProperties>
</file>