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5F29" w14:textId="6602DA10" w:rsidR="00C80727" w:rsidRPr="004A5C03" w:rsidRDefault="004A5C03" w:rsidP="00C12A4C">
      <w:r>
        <w:t xml:space="preserve">Statement: MNRAAA shall award </w:t>
      </w:r>
      <w:r w:rsidR="00C12A4C" w:rsidRPr="00C12A4C">
        <w:t>the legal service provider a </w:t>
      </w:r>
      <w:r w:rsidR="00C12A4C" w:rsidRPr="00C12A4C">
        <w:rPr>
          <w:b/>
          <w:bCs/>
        </w:rPr>
        <w:t>minimum</w:t>
      </w:r>
      <w:r w:rsidR="00C12A4C" w:rsidRPr="00C12A4C">
        <w:t> funding level equal to 10% of the new obligational authority (NOA) under Title III</w:t>
      </w:r>
      <w:r w:rsidR="00CD6CC0">
        <w:t>-</w:t>
      </w:r>
      <w:r w:rsidR="00C12A4C" w:rsidRPr="00C12A4C">
        <w:t xml:space="preserve">B funds. In addition to the 10 percent, </w:t>
      </w:r>
      <w:r w:rsidR="00CD6CC0">
        <w:t xml:space="preserve">MNRAAA shall </w:t>
      </w:r>
      <w:r w:rsidR="00C12A4C" w:rsidRPr="00C12A4C">
        <w:t xml:space="preserve">provide </w:t>
      </w:r>
      <w:r w:rsidR="00CD6CC0">
        <w:t>the</w:t>
      </w:r>
      <w:r w:rsidR="00C12A4C" w:rsidRPr="00C12A4C">
        <w:t xml:space="preserve"> legal service provider $1,000 per year to support participation at conferences, training, and other continuing education opportunities relevant to serving older Minnesotans as described below.</w:t>
      </w:r>
    </w:p>
    <w:p w14:paraId="0C842FBD" w14:textId="271D6221" w:rsidR="0053602A" w:rsidRPr="0053602A" w:rsidRDefault="0053602A" w:rsidP="00500B07">
      <w:pPr>
        <w:ind w:firstLine="360"/>
        <w:jc w:val="center"/>
        <w:rPr>
          <w:b/>
          <w:bCs/>
        </w:rPr>
      </w:pPr>
      <w:r w:rsidRPr="0053602A">
        <w:rPr>
          <w:b/>
          <w:bCs/>
        </w:rPr>
        <w:t>Obligations of Legal Service Provider</w:t>
      </w:r>
    </w:p>
    <w:p w14:paraId="44B3417D" w14:textId="77777777" w:rsidR="0013433F" w:rsidRDefault="0053602A" w:rsidP="0053602A">
      <w:pPr>
        <w:pStyle w:val="ListParagraph"/>
        <w:numPr>
          <w:ilvl w:val="0"/>
          <w:numId w:val="2"/>
        </w:numPr>
      </w:pPr>
      <w:r w:rsidRPr="0053602A">
        <w:t>Legal Assistance providers must be licensed in accordance with Minnesota Statutes Chapter 481.</w:t>
      </w:r>
    </w:p>
    <w:p w14:paraId="6ED856DB" w14:textId="77777777" w:rsidR="0013433F" w:rsidRDefault="0013433F" w:rsidP="0013433F">
      <w:pPr>
        <w:pStyle w:val="ListParagraph"/>
      </w:pPr>
    </w:p>
    <w:p w14:paraId="05EF406C" w14:textId="77777777" w:rsidR="0013433F" w:rsidRDefault="0053602A" w:rsidP="0053602A">
      <w:pPr>
        <w:pStyle w:val="ListParagraph"/>
        <w:numPr>
          <w:ilvl w:val="0"/>
          <w:numId w:val="2"/>
        </w:numPr>
      </w:pPr>
      <w:r w:rsidRPr="0053602A">
        <w:t>The provisions and restrictions in this policy apply to legal assistance provider(s) when they are providing legal assistance under section 307(a)(11) of the Act (42 U.S.C.3027(a)(11)).</w:t>
      </w:r>
    </w:p>
    <w:p w14:paraId="48937A11" w14:textId="77777777" w:rsidR="0013433F" w:rsidRDefault="0013433F" w:rsidP="0013433F">
      <w:pPr>
        <w:pStyle w:val="ListParagraph"/>
      </w:pPr>
    </w:p>
    <w:p w14:paraId="3A61A5E7" w14:textId="77777777" w:rsidR="0013433F" w:rsidRDefault="0053602A" w:rsidP="0053602A">
      <w:pPr>
        <w:pStyle w:val="ListParagraph"/>
        <w:numPr>
          <w:ilvl w:val="0"/>
          <w:numId w:val="2"/>
        </w:numPr>
      </w:pPr>
      <w:r w:rsidRPr="0053602A">
        <w:t>Legal Assistance providers shall:</w:t>
      </w:r>
    </w:p>
    <w:p w14:paraId="1A1FE79E" w14:textId="77777777" w:rsidR="0013433F" w:rsidRDefault="0053602A" w:rsidP="0053602A">
      <w:pPr>
        <w:pStyle w:val="ListParagraph"/>
        <w:numPr>
          <w:ilvl w:val="1"/>
          <w:numId w:val="2"/>
        </w:numPr>
      </w:pPr>
      <w:r w:rsidRPr="0053602A">
        <w:t>Provide legal assistance to meet complex and evolving legal needs that may arise involving a range of private, public, and governmental entities, programs, and activities that may impact an older adult’s independence, choice, or financial security; and</w:t>
      </w:r>
    </w:p>
    <w:p w14:paraId="470324A2" w14:textId="77777777" w:rsidR="0013433F" w:rsidRDefault="0013433F" w:rsidP="0013433F">
      <w:pPr>
        <w:pStyle w:val="ListParagraph"/>
        <w:ind w:left="1440"/>
      </w:pPr>
    </w:p>
    <w:p w14:paraId="1E082D38" w14:textId="77777777" w:rsidR="0013433F" w:rsidRDefault="0053602A" w:rsidP="0053602A">
      <w:pPr>
        <w:pStyle w:val="ListParagraph"/>
        <w:numPr>
          <w:ilvl w:val="1"/>
          <w:numId w:val="2"/>
        </w:numPr>
      </w:pPr>
      <w:r w:rsidRPr="0053602A">
        <w:t xml:space="preserve">Maintain the expertise and capacity for and provision of effective administrative and judicial representation, which means the expertise and ability to provide the range of services necessary to adequately address the needs of older adults through legal assistance in administrative and judicial forums, as required under the Act. This expertise and capacity </w:t>
      </w:r>
      <w:proofErr w:type="gramStart"/>
      <w:r w:rsidRPr="0053602A">
        <w:t>includes</w:t>
      </w:r>
      <w:proofErr w:type="gramEnd"/>
      <w:r w:rsidRPr="0053602A">
        <w:t xml:space="preserve"> providing the full range of legal services, from brief service and advice through representation in administrative and judicial proceedings.</w:t>
      </w:r>
    </w:p>
    <w:p w14:paraId="434BA0D1" w14:textId="77777777" w:rsidR="0013433F" w:rsidRDefault="0013433F" w:rsidP="0013433F">
      <w:pPr>
        <w:pStyle w:val="ListParagraph"/>
        <w:ind w:left="1440"/>
      </w:pPr>
    </w:p>
    <w:p w14:paraId="0A04571F" w14:textId="77777777" w:rsidR="0013433F" w:rsidRDefault="0053602A" w:rsidP="0053602A">
      <w:pPr>
        <w:pStyle w:val="ListParagraph"/>
        <w:numPr>
          <w:ilvl w:val="1"/>
          <w:numId w:val="2"/>
        </w:numPr>
      </w:pPr>
      <w:r w:rsidRPr="0053602A">
        <w:t xml:space="preserve">Conduct administrative and judicial advocacy as is necessary to meet the legal needs of older adults with economic or social </w:t>
      </w:r>
      <w:proofErr w:type="gramStart"/>
      <w:r w:rsidRPr="0053602A">
        <w:t>need</w:t>
      </w:r>
      <w:proofErr w:type="gramEnd"/>
      <w:r w:rsidRPr="0053602A">
        <w:t>, focusing on such individuals with the greatest economic need or greatest social need:</w:t>
      </w:r>
    </w:p>
    <w:p w14:paraId="7544B948" w14:textId="77777777" w:rsidR="0013433F" w:rsidRDefault="0053602A" w:rsidP="0053602A">
      <w:pPr>
        <w:pStyle w:val="ListParagraph"/>
        <w:numPr>
          <w:ilvl w:val="2"/>
          <w:numId w:val="2"/>
        </w:numPr>
      </w:pPr>
      <w:r w:rsidRPr="0053602A">
        <w:t>Economic need means the need for legal assistance resulting from income at or below the Federal poverty level, as defined in section 102(44) of the Act (42 U.S.C. 3002(44)), that is insufficient to meet the legal needs of an older individual or that causes barriers to attaining legal assistance to assert the rights of older individuals as articulated in the Act and in the laws, regulations, and Constitution.</w:t>
      </w:r>
    </w:p>
    <w:p w14:paraId="5DEEBDF4" w14:textId="6DEF0F0A" w:rsidR="006D046E" w:rsidRDefault="006D046E" w:rsidP="006D046E">
      <w:pPr>
        <w:pStyle w:val="ListParagraph"/>
        <w:numPr>
          <w:ilvl w:val="2"/>
          <w:numId w:val="2"/>
        </w:numPr>
      </w:pPr>
      <w:r>
        <w:t xml:space="preserve">MNRAAA defines those with the Greatest Economic Need as </w:t>
      </w:r>
      <w:r w:rsidRPr="00374E7B">
        <w:t>an individual with an income level at or below the Federal poverty level and, other local and individual factors, including geography and expenses.</w:t>
      </w:r>
    </w:p>
    <w:p w14:paraId="6FD1F00E" w14:textId="77777777" w:rsidR="002366DB" w:rsidRDefault="0053602A" w:rsidP="0053602A">
      <w:pPr>
        <w:pStyle w:val="ListParagraph"/>
        <w:numPr>
          <w:ilvl w:val="2"/>
          <w:numId w:val="2"/>
        </w:numPr>
      </w:pPr>
      <w:r w:rsidRPr="0053602A">
        <w:t xml:space="preserve">Social need means the need for legal assistance resulting from social factors, as defined by in section 102(24) of the Act (42 U.S.C. </w:t>
      </w:r>
      <w:r w:rsidRPr="0053602A">
        <w:lastRenderedPageBreak/>
        <w:t>3002(24)), that cause barriers to attaining legal assistance to assert the rights of older individuals.</w:t>
      </w:r>
    </w:p>
    <w:p w14:paraId="14D49BB8" w14:textId="37403393" w:rsidR="006D046E" w:rsidRDefault="00CB2819" w:rsidP="005E3F9F">
      <w:pPr>
        <w:pStyle w:val="ListParagraph"/>
        <w:numPr>
          <w:ilvl w:val="2"/>
          <w:numId w:val="2"/>
        </w:numPr>
      </w:pPr>
      <w:r>
        <w:t>MNRAAA defines those with the Greatest Social Need (GSN) by noneconomical factors. This may include, but may not be limited to; Rural or Geographical isolation, Physical or Mental disabilities, Language barriers, Racial or ethnic status, Native American identity, Sexual orientation, HIV Status, Chronic Health Conditions, Housing Instability, Food Insecurity, Lack of reliable clean water supply, Lack of transportation, Assistance with utility needs</w:t>
      </w:r>
      <w:r w:rsidR="005E3F9F">
        <w:t xml:space="preserve">, or </w:t>
      </w:r>
      <w:r>
        <w:t>Domestic safety concerns</w:t>
      </w:r>
      <w:r w:rsidR="005E3F9F">
        <w:t>.</w:t>
      </w:r>
    </w:p>
    <w:p w14:paraId="48AE6869" w14:textId="77777777" w:rsidR="002366DB" w:rsidRDefault="002366DB" w:rsidP="002366DB">
      <w:pPr>
        <w:pStyle w:val="ListParagraph"/>
        <w:ind w:left="2160"/>
      </w:pPr>
    </w:p>
    <w:p w14:paraId="0B7727E2" w14:textId="3AECD9D4" w:rsidR="0053602A" w:rsidRDefault="0053602A" w:rsidP="002366DB">
      <w:pPr>
        <w:pStyle w:val="ListParagraph"/>
        <w:numPr>
          <w:ilvl w:val="1"/>
          <w:numId w:val="2"/>
        </w:numPr>
      </w:pPr>
      <w:r w:rsidRPr="0053602A">
        <w:t>Maintain the expertise required to capably handle matters related to the priority case type areas specified under the Act, including income and public entitlement benefits, health care, long-term care, nutrition, housing, utilities, protective services, abuse, neglect, age</w:t>
      </w:r>
      <w:r w:rsidR="005E3F9F">
        <w:t xml:space="preserve"> </w:t>
      </w:r>
      <w:r w:rsidRPr="0053602A">
        <w:t>discrimination </w:t>
      </w:r>
      <w:r w:rsidRPr="005E3F9F">
        <w:t>and</w:t>
      </w:r>
      <w:r w:rsidRPr="002366DB">
        <w:rPr>
          <w:b/>
          <w:bCs/>
        </w:rPr>
        <w:t> </w:t>
      </w:r>
      <w:r w:rsidRPr="0053602A">
        <w:t xml:space="preserve">defense of </w:t>
      </w:r>
      <w:r w:rsidRPr="005E3F9F">
        <w:t>guardianship and consumer issues</w:t>
      </w:r>
      <w:r w:rsidR="005E3F9F" w:rsidRPr="005E3F9F">
        <w:t>.</w:t>
      </w:r>
    </w:p>
    <w:p w14:paraId="06E403CC" w14:textId="77777777" w:rsidR="00EE6C23" w:rsidRPr="0053602A" w:rsidRDefault="00EE6C23" w:rsidP="00EE6C23">
      <w:pPr>
        <w:pStyle w:val="ListParagraph"/>
        <w:ind w:left="1440"/>
      </w:pPr>
    </w:p>
    <w:p w14:paraId="3C3F8BF0" w14:textId="77777777" w:rsidR="00EE6C23" w:rsidRDefault="0053602A" w:rsidP="0053602A">
      <w:pPr>
        <w:pStyle w:val="ListParagraph"/>
        <w:numPr>
          <w:ilvl w:val="1"/>
          <w:numId w:val="2"/>
        </w:numPr>
      </w:pPr>
      <w:r w:rsidRPr="0053602A">
        <w:t>Maintain the expertise required to address any matters that are related to preserving, maintaining, and restoring an older adult’s independence, choice, or financial security.</w:t>
      </w:r>
    </w:p>
    <w:p w14:paraId="24816EAD" w14:textId="77777777" w:rsidR="00EE6C23" w:rsidRDefault="00EE6C23" w:rsidP="00EE6C23">
      <w:pPr>
        <w:pStyle w:val="ListParagraph"/>
        <w:ind w:left="1440"/>
      </w:pPr>
    </w:p>
    <w:p w14:paraId="7D4687B3" w14:textId="77777777" w:rsidR="00EE6C23" w:rsidRDefault="0053602A" w:rsidP="0053602A">
      <w:pPr>
        <w:pStyle w:val="ListParagraph"/>
        <w:numPr>
          <w:ilvl w:val="1"/>
          <w:numId w:val="2"/>
        </w:numPr>
      </w:pPr>
      <w:r w:rsidRPr="0053602A">
        <w:t xml:space="preserve">Maintain the capacity to provide effective legal assistance and legal support to </w:t>
      </w:r>
      <w:r w:rsidRPr="00EE6C23">
        <w:t>other elder justice advocacy efforts</w:t>
      </w:r>
      <w:r w:rsidRPr="0053602A">
        <w:t>, including, but not limited to, the Long- Term Care Ombudsman Program serving the planning and service area, as required by section 712(h)(8) of the Act (42 U.S.C. 3058g(h)(8)), and maintain the capacity to form, develop and maintain partnerships with programs or agencies that support older adults’ independence, choice, or financial security.</w:t>
      </w:r>
    </w:p>
    <w:p w14:paraId="09408B4E" w14:textId="77777777" w:rsidR="00EE6C23" w:rsidRDefault="00EE6C23" w:rsidP="00EE6C23">
      <w:pPr>
        <w:pStyle w:val="ListParagraph"/>
        <w:ind w:left="1440"/>
      </w:pPr>
    </w:p>
    <w:p w14:paraId="4F5C38EE" w14:textId="77777777" w:rsidR="00C71E5C" w:rsidRDefault="0053602A" w:rsidP="0053602A">
      <w:pPr>
        <w:pStyle w:val="ListParagraph"/>
        <w:numPr>
          <w:ilvl w:val="1"/>
          <w:numId w:val="2"/>
        </w:numPr>
      </w:pPr>
      <w:r w:rsidRPr="0053602A">
        <w:t>Maintain and exercise the capacity to effectively provide legal assistance to older adults regardless of whether they reside in community or congregate settings, and to provide legal</w:t>
      </w:r>
      <w:r w:rsidR="00C71E5C">
        <w:t xml:space="preserve"> </w:t>
      </w:r>
      <w:r w:rsidRPr="0053602A">
        <w:t>assistance to older individuals who are confined to their home, and older adults whose access to legal assistance may be limited by geography or isolation.</w:t>
      </w:r>
    </w:p>
    <w:p w14:paraId="5EF30668" w14:textId="77777777" w:rsidR="00C71E5C" w:rsidRDefault="00C71E5C" w:rsidP="00C71E5C">
      <w:pPr>
        <w:pStyle w:val="ListParagraph"/>
        <w:ind w:left="1440"/>
      </w:pPr>
    </w:p>
    <w:p w14:paraId="67F1970F" w14:textId="77777777" w:rsidR="00C71E5C" w:rsidRDefault="0053602A" w:rsidP="0053602A">
      <w:pPr>
        <w:pStyle w:val="ListParagraph"/>
        <w:numPr>
          <w:ilvl w:val="1"/>
          <w:numId w:val="2"/>
        </w:numPr>
      </w:pPr>
      <w:r w:rsidRPr="0053602A">
        <w:t>Maintain the capacity to provide legal assistance in the preferred language used by older individuals seeking and/or receiving legal assistance who are limited-English proficient (LEP), including in oral and written communication.</w:t>
      </w:r>
    </w:p>
    <w:p w14:paraId="3FA0B64C" w14:textId="77777777" w:rsidR="00C71E5C" w:rsidRDefault="0053602A" w:rsidP="0053602A">
      <w:pPr>
        <w:pStyle w:val="ListParagraph"/>
        <w:numPr>
          <w:ilvl w:val="2"/>
          <w:numId w:val="2"/>
        </w:numPr>
      </w:pPr>
      <w:r w:rsidRPr="0053602A">
        <w:t>Legal assistance provider(s) shall take reasonable steps to ensure meaningful access to legal assistance by older individuals with limited English-speaking proficiency and other communication needs</w:t>
      </w:r>
      <w:r w:rsidR="00C71E5C">
        <w:t>.</w:t>
      </w:r>
    </w:p>
    <w:p w14:paraId="33E961F6" w14:textId="77777777" w:rsidR="00C71E5C" w:rsidRDefault="0053602A" w:rsidP="0053602A">
      <w:pPr>
        <w:pStyle w:val="ListParagraph"/>
        <w:numPr>
          <w:ilvl w:val="2"/>
          <w:numId w:val="2"/>
        </w:numPr>
      </w:pPr>
      <w:r w:rsidRPr="0053602A">
        <w:lastRenderedPageBreak/>
        <w:t xml:space="preserve">Such reasonable steps require an individualized assessment of the needs of individuals who are seeking legal assistance and legal assistance clients to understand and participate in the legal process (as determined by </w:t>
      </w:r>
      <w:proofErr w:type="gramStart"/>
      <w:r w:rsidRPr="0053602A">
        <w:t>each individual</w:t>
      </w:r>
      <w:proofErr w:type="gramEnd"/>
      <w:r w:rsidRPr="0053602A">
        <w:t>)</w:t>
      </w:r>
      <w:r w:rsidR="00C71E5C">
        <w:t>.</w:t>
      </w:r>
    </w:p>
    <w:p w14:paraId="090AB9FA" w14:textId="4AA4EB72" w:rsidR="0053602A" w:rsidRDefault="0053602A" w:rsidP="0053602A">
      <w:pPr>
        <w:pStyle w:val="ListParagraph"/>
        <w:numPr>
          <w:ilvl w:val="2"/>
          <w:numId w:val="2"/>
        </w:numPr>
      </w:pPr>
      <w:r w:rsidRPr="0053602A">
        <w:t xml:space="preserve">Legal assistance </w:t>
      </w:r>
      <w:proofErr w:type="gramStart"/>
      <w:r w:rsidRPr="0053602A">
        <w:t>provider(s)</w:t>
      </w:r>
      <w:proofErr w:type="gramEnd"/>
      <w:r w:rsidRPr="0053602A">
        <w:t xml:space="preserve"> are responsible for providing access to interpretation, </w:t>
      </w:r>
      <w:proofErr w:type="gramStart"/>
      <w:r w:rsidRPr="0053602A">
        <w:t>translation, and</w:t>
      </w:r>
      <w:proofErr w:type="gramEnd"/>
      <w:r w:rsidRPr="0053602A">
        <w:t xml:space="preserve"> auxiliary aids and services to meet older individuals’ legal assistance needs.</w:t>
      </w:r>
    </w:p>
    <w:p w14:paraId="4BA610C8" w14:textId="77777777" w:rsidR="00C71E5C" w:rsidRPr="0053602A" w:rsidRDefault="00C71E5C" w:rsidP="00C71E5C">
      <w:pPr>
        <w:pStyle w:val="ListParagraph"/>
        <w:ind w:left="2160"/>
      </w:pPr>
    </w:p>
    <w:p w14:paraId="0623A963" w14:textId="77777777" w:rsidR="00C71E5C" w:rsidRDefault="0053602A" w:rsidP="0053602A">
      <w:pPr>
        <w:pStyle w:val="ListParagraph"/>
        <w:numPr>
          <w:ilvl w:val="1"/>
          <w:numId w:val="2"/>
        </w:numPr>
      </w:pPr>
      <w:r w:rsidRPr="0053602A">
        <w:t>Maintain staff with knowledge of the unique experiences of older adults with economic or social need and expertise in areas of law affecting such older adults.</w:t>
      </w:r>
    </w:p>
    <w:p w14:paraId="47D18FDE" w14:textId="77777777" w:rsidR="00C71E5C" w:rsidRDefault="00C71E5C" w:rsidP="00C71E5C">
      <w:pPr>
        <w:pStyle w:val="ListParagraph"/>
        <w:ind w:left="1440"/>
      </w:pPr>
    </w:p>
    <w:p w14:paraId="1A5FB2C2" w14:textId="77777777" w:rsidR="00C71E5C" w:rsidRDefault="0053602A" w:rsidP="0053602A">
      <w:pPr>
        <w:pStyle w:val="ListParagraph"/>
        <w:numPr>
          <w:ilvl w:val="1"/>
          <w:numId w:val="2"/>
        </w:numPr>
      </w:pPr>
      <w:r w:rsidRPr="0053602A">
        <w:t xml:space="preserve">If not a Legal Services Corporation (LSC) project </w:t>
      </w:r>
      <w:proofErr w:type="gramStart"/>
      <w:r w:rsidRPr="0053602A">
        <w:t>grantee</w:t>
      </w:r>
      <w:proofErr w:type="gramEnd"/>
      <w:r w:rsidRPr="0053602A">
        <w:t>, coordinate services with existing LSC in the region.</w:t>
      </w:r>
    </w:p>
    <w:p w14:paraId="576AA6D4" w14:textId="77777777" w:rsidR="00C71E5C" w:rsidRDefault="00C71E5C" w:rsidP="00C71E5C">
      <w:pPr>
        <w:pStyle w:val="ListParagraph"/>
        <w:ind w:left="1440"/>
      </w:pPr>
    </w:p>
    <w:p w14:paraId="1EA22749" w14:textId="77777777" w:rsidR="00C71E5C" w:rsidRDefault="0053602A" w:rsidP="0053602A">
      <w:pPr>
        <w:pStyle w:val="ListParagraph"/>
        <w:numPr>
          <w:ilvl w:val="1"/>
          <w:numId w:val="2"/>
        </w:numPr>
      </w:pPr>
      <w:r w:rsidRPr="0053602A">
        <w:t>Engage in joint-planning and cross-training efforts with the aging network, to include work with the AAAs, the State and direct service programs of the Minnesota Board on Aging.</w:t>
      </w:r>
    </w:p>
    <w:p w14:paraId="5339313F" w14:textId="77777777" w:rsidR="00C71E5C" w:rsidRDefault="00C71E5C" w:rsidP="00C71E5C">
      <w:pPr>
        <w:pStyle w:val="ListParagraph"/>
        <w:ind w:left="1440"/>
      </w:pPr>
    </w:p>
    <w:p w14:paraId="617FE8F2" w14:textId="77777777" w:rsidR="00C71E5C" w:rsidRDefault="0053602A" w:rsidP="0053602A">
      <w:pPr>
        <w:pStyle w:val="ListParagraph"/>
        <w:numPr>
          <w:ilvl w:val="1"/>
          <w:numId w:val="2"/>
        </w:numPr>
      </w:pPr>
      <w:r w:rsidRPr="0053602A">
        <w:t xml:space="preserve">Ensure high quality, cost-effective and high-impact services are delivered, or that clients are appropriately referred </w:t>
      </w:r>
      <w:proofErr w:type="gramStart"/>
      <w:r w:rsidRPr="0053602A">
        <w:t>to</w:t>
      </w:r>
      <w:proofErr w:type="gramEnd"/>
      <w:r w:rsidRPr="0053602A">
        <w:t xml:space="preserve"> other agencies or organizations for services.</w:t>
      </w:r>
    </w:p>
    <w:p w14:paraId="5AF5E3EC" w14:textId="77777777" w:rsidR="00C71E5C" w:rsidRDefault="00C71E5C" w:rsidP="00C71E5C">
      <w:pPr>
        <w:pStyle w:val="ListParagraph"/>
        <w:ind w:left="1440"/>
      </w:pPr>
    </w:p>
    <w:p w14:paraId="01A77D46" w14:textId="77777777" w:rsidR="00C71E5C" w:rsidRDefault="0053602A" w:rsidP="0053602A">
      <w:pPr>
        <w:pStyle w:val="ListParagraph"/>
        <w:numPr>
          <w:ilvl w:val="1"/>
          <w:numId w:val="2"/>
        </w:numPr>
      </w:pPr>
      <w:r w:rsidRPr="0053602A">
        <w:t>Provide the full scope of representation and services as appropriate in applicable Minnesota State and Federal courts and administrative forums.</w:t>
      </w:r>
    </w:p>
    <w:p w14:paraId="184744D2" w14:textId="77777777" w:rsidR="00C71E5C" w:rsidRDefault="00C71E5C" w:rsidP="00C71E5C">
      <w:pPr>
        <w:pStyle w:val="ListParagraph"/>
        <w:ind w:left="1440"/>
      </w:pPr>
    </w:p>
    <w:p w14:paraId="4EC4840E" w14:textId="77777777" w:rsidR="00C71E5C" w:rsidRDefault="0053602A" w:rsidP="0053602A">
      <w:pPr>
        <w:pStyle w:val="ListParagraph"/>
        <w:numPr>
          <w:ilvl w:val="1"/>
          <w:numId w:val="2"/>
        </w:numPr>
      </w:pPr>
      <w:r w:rsidRPr="0053602A">
        <w:t>Report aggregate, non-identifying, client and case data in accordance with MBA and AAA monitoring requirements as described in detail in the Procedures section of this document.</w:t>
      </w:r>
    </w:p>
    <w:p w14:paraId="123E38C8" w14:textId="77777777" w:rsidR="00C71E5C" w:rsidRDefault="00C71E5C" w:rsidP="00C71E5C">
      <w:pPr>
        <w:pStyle w:val="ListParagraph"/>
        <w:ind w:left="1440"/>
      </w:pPr>
    </w:p>
    <w:p w14:paraId="13C2FE18" w14:textId="77777777" w:rsidR="002F1165" w:rsidRDefault="0053602A" w:rsidP="0053602A">
      <w:pPr>
        <w:pStyle w:val="ListParagraph"/>
        <w:numPr>
          <w:ilvl w:val="1"/>
          <w:numId w:val="2"/>
        </w:numPr>
      </w:pPr>
      <w:r w:rsidRPr="0053602A">
        <w:t>Work with the AAA and State Legal Assistance Developer to ensure that a legal needs assessment including areas specific to older adults is developed and released on a regular basis.</w:t>
      </w:r>
    </w:p>
    <w:p w14:paraId="59DE37B1" w14:textId="77777777" w:rsidR="002F1165" w:rsidRDefault="002F1165" w:rsidP="002F1165">
      <w:pPr>
        <w:pStyle w:val="ListParagraph"/>
        <w:ind w:left="1440"/>
      </w:pPr>
    </w:p>
    <w:p w14:paraId="327D8543" w14:textId="77777777" w:rsidR="00DD2E1C" w:rsidRPr="00DD2E1C" w:rsidRDefault="00DD2E1C" w:rsidP="0053602A">
      <w:pPr>
        <w:pStyle w:val="ListParagraph"/>
        <w:numPr>
          <w:ilvl w:val="1"/>
          <w:numId w:val="2"/>
        </w:numPr>
      </w:pPr>
      <w:r w:rsidRPr="00DD2E1C">
        <w:t>Develop, t</w:t>
      </w:r>
      <w:r w:rsidR="0053602A" w:rsidRPr="00DD2E1C">
        <w:t>o the extent possible, a pro bono panel of attorneys and advocates, or coordinate with the local pro bono provider, to expand the provision of legal assistance for older adults within the service area and meet case priorities under the Older Americans Act.</w:t>
      </w:r>
    </w:p>
    <w:p w14:paraId="5EF5E5AE" w14:textId="77777777" w:rsidR="00DD2E1C" w:rsidRPr="00DD2E1C" w:rsidRDefault="00DD2E1C" w:rsidP="00DD2E1C">
      <w:pPr>
        <w:pStyle w:val="ListParagraph"/>
        <w:ind w:left="1440"/>
      </w:pPr>
    </w:p>
    <w:p w14:paraId="07577098" w14:textId="77777777" w:rsidR="00DD2E1C" w:rsidRDefault="0053602A" w:rsidP="0053602A">
      <w:pPr>
        <w:pStyle w:val="ListParagraph"/>
        <w:numPr>
          <w:ilvl w:val="1"/>
          <w:numId w:val="2"/>
        </w:numPr>
      </w:pPr>
      <w:r w:rsidRPr="00DD2E1C">
        <w:t>Use funds received from the AAA funding received for the purpose of legal assistance and legal education to enhance assistance</w:t>
      </w:r>
      <w:r w:rsidR="00DD2E1C" w:rsidRPr="00DD2E1C">
        <w:t xml:space="preserve"> </w:t>
      </w:r>
      <w:r w:rsidRPr="00DD2E1C">
        <w:t>services to eligible individuals and, to the extent practicable, prioritize target </w:t>
      </w:r>
      <w:proofErr w:type="gramStart"/>
      <w:r w:rsidRPr="00DD2E1C">
        <w:t>unmet</w:t>
      </w:r>
      <w:proofErr w:type="gramEnd"/>
      <w:r w:rsidRPr="00DD2E1C">
        <w:t xml:space="preserve"> needs of </w:t>
      </w:r>
      <w:r w:rsidRPr="00DD2E1C">
        <w:lastRenderedPageBreak/>
        <w:t>vulnerable populations. Additionally, any voluntary contributions should be used to expand services and supplement (not supplant) OAA funds.</w:t>
      </w:r>
    </w:p>
    <w:p w14:paraId="1A3BFA55" w14:textId="77777777" w:rsidR="00DD2E1C" w:rsidRDefault="00DD2E1C" w:rsidP="00DD2E1C">
      <w:pPr>
        <w:pStyle w:val="ListParagraph"/>
        <w:ind w:left="1440"/>
      </w:pPr>
    </w:p>
    <w:p w14:paraId="4E50DEAA" w14:textId="77777777" w:rsidR="00DD2E1C" w:rsidRDefault="0053602A" w:rsidP="0053602A">
      <w:pPr>
        <w:pStyle w:val="ListParagraph"/>
        <w:numPr>
          <w:ilvl w:val="1"/>
          <w:numId w:val="2"/>
        </w:numPr>
      </w:pPr>
      <w:r w:rsidRPr="0053602A">
        <w:t>Although a provider may ask about the person’s financial circumstances as a part of the process of providing legal advice, counseling, and representation, or for the purpose of identifying additional resources and benefits for which an older person may be eligible, or to meet MBA requirements for reporting on client characteristics; a provider shall not means test as a condition of providing service.</w:t>
      </w:r>
    </w:p>
    <w:p w14:paraId="7C2DAF98" w14:textId="77777777" w:rsidR="00DD2E1C" w:rsidRDefault="00DD2E1C" w:rsidP="00DD2E1C">
      <w:pPr>
        <w:pStyle w:val="ListParagraph"/>
        <w:ind w:left="1440"/>
      </w:pPr>
    </w:p>
    <w:p w14:paraId="28DF24FA" w14:textId="77777777" w:rsidR="00F01D1D" w:rsidRDefault="00537FCE" w:rsidP="0053602A">
      <w:pPr>
        <w:pStyle w:val="ListParagraph"/>
        <w:numPr>
          <w:ilvl w:val="1"/>
          <w:numId w:val="2"/>
        </w:numPr>
      </w:pPr>
      <w:r w:rsidRPr="00F01D1D">
        <w:t>E</w:t>
      </w:r>
      <w:r w:rsidR="0053602A" w:rsidRPr="00F01D1D">
        <w:t>nsure case acceptance priorities for older adult representation and prioritizing targeting </w:t>
      </w:r>
      <w:r w:rsidRPr="00F01D1D">
        <w:t>p</w:t>
      </w:r>
      <w:r w:rsidR="0053602A" w:rsidRPr="00F01D1D">
        <w:t>lans using current OAA guidance, input from the AAA, recent older adult legal needs assessments (if available) surveys and other relevant information regarding met and  unmet legal needs within the region.</w:t>
      </w:r>
      <w:r w:rsidR="00F01D1D" w:rsidRPr="00F01D1D">
        <w:t xml:space="preserve"> </w:t>
      </w:r>
      <w:r w:rsidR="0053602A" w:rsidRPr="00F01D1D">
        <w:t xml:space="preserve">Providers will work with </w:t>
      </w:r>
      <w:r w:rsidR="00F01D1D" w:rsidRPr="00F01D1D">
        <w:t xml:space="preserve">the </w:t>
      </w:r>
      <w:r w:rsidR="0053602A" w:rsidRPr="00F01D1D">
        <w:t xml:space="preserve">AAA, the LAD, and other aspects of the elder justice community to engage in a survey of the legal needs of older adults on a regular basis. Priorities and prioritization plans should be reviewed </w:t>
      </w:r>
      <w:proofErr w:type="gramStart"/>
      <w:r w:rsidR="0053602A" w:rsidRPr="00F01D1D">
        <w:t>jointly,</w:t>
      </w:r>
      <w:proofErr w:type="gramEnd"/>
      <w:r w:rsidR="0053602A" w:rsidRPr="00F01D1D">
        <w:t xml:space="preserve"> by the AAA and service provider</w:t>
      </w:r>
      <w:r w:rsidR="0053602A" w:rsidRPr="0053602A">
        <w:t>, at least every other year, to ensure appropriate prioritization. Plans should be developed in consultation with the AAA and other partners, as appropriate, to allow for joint identification of sub-groups of elders who are most vulnerable and in need of legal assistance. Based on these plans, providers will establish written procedures for case intake, acceptance and rejection. Sub-groups that should be considered for priority legal assistance services shall include:</w:t>
      </w:r>
    </w:p>
    <w:p w14:paraId="7B1DA75F" w14:textId="46D71451" w:rsidR="00F01D1D" w:rsidRDefault="00F01D1D" w:rsidP="0053602A">
      <w:pPr>
        <w:pStyle w:val="ListParagraph"/>
        <w:numPr>
          <w:ilvl w:val="2"/>
          <w:numId w:val="2"/>
        </w:numPr>
      </w:pPr>
      <w:r>
        <w:t>H</w:t>
      </w:r>
      <w:r w:rsidR="0053602A" w:rsidRPr="0053602A">
        <w:t>omeless or housing insecure older adults</w:t>
      </w:r>
      <w:r w:rsidR="00BD720C">
        <w:t>.</w:t>
      </w:r>
    </w:p>
    <w:p w14:paraId="3A35472F" w14:textId="77777777" w:rsidR="00F01D1D" w:rsidRDefault="0053602A" w:rsidP="0053602A">
      <w:pPr>
        <w:pStyle w:val="ListParagraph"/>
        <w:numPr>
          <w:ilvl w:val="2"/>
          <w:numId w:val="2"/>
        </w:numPr>
      </w:pPr>
      <w:r w:rsidRPr="0053602A">
        <w:t>Older adults who are part of historically marginalized groups such as black, indigenous, persons of color, and LGBT communities.</w:t>
      </w:r>
    </w:p>
    <w:p w14:paraId="6C05FFAE" w14:textId="6EB5930C" w:rsidR="00F01D1D" w:rsidRDefault="0053602A" w:rsidP="0053602A">
      <w:pPr>
        <w:pStyle w:val="ListParagraph"/>
        <w:numPr>
          <w:ilvl w:val="2"/>
          <w:numId w:val="2"/>
        </w:numPr>
      </w:pPr>
      <w:r w:rsidRPr="0053602A">
        <w:t>Physically and/or socially isolated older adults, to include those living in rural areas, those with mobility limitations, diminished vision or hearing, and those who are living with disabilities</w:t>
      </w:r>
      <w:r w:rsidR="00BD720C">
        <w:t>.</w:t>
      </w:r>
    </w:p>
    <w:p w14:paraId="04430075" w14:textId="345CFF29" w:rsidR="00F01D1D" w:rsidRDefault="0053602A" w:rsidP="0053602A">
      <w:pPr>
        <w:pStyle w:val="ListParagraph"/>
        <w:numPr>
          <w:ilvl w:val="2"/>
          <w:numId w:val="2"/>
        </w:numPr>
      </w:pPr>
      <w:r w:rsidRPr="0053602A">
        <w:t>Older adults with language barriers or otherwise limited English proficient (including literacy constraints)</w:t>
      </w:r>
      <w:r w:rsidR="00BD720C">
        <w:t>.</w:t>
      </w:r>
    </w:p>
    <w:p w14:paraId="32CEF9D5" w14:textId="59BCA043" w:rsidR="00F01D1D" w:rsidRDefault="0053602A" w:rsidP="0053602A">
      <w:pPr>
        <w:pStyle w:val="ListParagraph"/>
        <w:numPr>
          <w:ilvl w:val="2"/>
          <w:numId w:val="2"/>
        </w:numPr>
      </w:pPr>
      <w:r w:rsidRPr="0053602A">
        <w:t>Older adults born outside the United States, regardless of immigration status, but special focus on those who are crime victims, those looking to access or maintain eligibility for benefits, and those looking to adjust their immigration status to a more permanent category</w:t>
      </w:r>
      <w:r w:rsidR="00BD720C">
        <w:t>.</w:t>
      </w:r>
    </w:p>
    <w:p w14:paraId="57F4B08F" w14:textId="4B985E01" w:rsidR="00F01D1D" w:rsidRDefault="0053602A" w:rsidP="0053602A">
      <w:pPr>
        <w:pStyle w:val="ListParagraph"/>
        <w:numPr>
          <w:ilvl w:val="2"/>
          <w:numId w:val="2"/>
        </w:numPr>
      </w:pPr>
      <w:r w:rsidRPr="0053602A">
        <w:t xml:space="preserve">Older adults living in skilled nursing facilities, assisted living facilities, or otherwise receiving </w:t>
      </w:r>
      <w:proofErr w:type="gramStart"/>
      <w:r w:rsidRPr="0053602A">
        <w:t>waivered</w:t>
      </w:r>
      <w:proofErr w:type="gramEnd"/>
      <w:r w:rsidRPr="0053602A">
        <w:t xml:space="preserve"> or government services </w:t>
      </w:r>
      <w:r w:rsidR="00BD720C">
        <w:t>at</w:t>
      </w:r>
      <w:r w:rsidRPr="0053602A">
        <w:t xml:space="preserve"> home</w:t>
      </w:r>
      <w:r w:rsidR="00F01D1D">
        <w:t>.</w:t>
      </w:r>
    </w:p>
    <w:p w14:paraId="6F324A2B" w14:textId="77777777" w:rsidR="00BD720C" w:rsidRDefault="0053602A" w:rsidP="0053602A">
      <w:pPr>
        <w:pStyle w:val="ListParagraph"/>
        <w:numPr>
          <w:ilvl w:val="2"/>
          <w:numId w:val="2"/>
        </w:numPr>
      </w:pPr>
      <w:r w:rsidRPr="00BD720C">
        <w:t xml:space="preserve">Older adults </w:t>
      </w:r>
      <w:proofErr w:type="gramStart"/>
      <w:r w:rsidRPr="00BD720C">
        <w:t>at</w:t>
      </w:r>
      <w:proofErr w:type="gramEnd"/>
      <w:r w:rsidRPr="00BD720C">
        <w:t xml:space="preserve"> risk of guardianship or who are looking to amend or remove guardianship </w:t>
      </w:r>
      <w:proofErr w:type="gramStart"/>
      <w:r w:rsidRPr="00BD720C">
        <w:t>conditions, or</w:t>
      </w:r>
      <w:proofErr w:type="gramEnd"/>
      <w:r w:rsidRPr="00BD720C">
        <w:t xml:space="preserve"> are seeking less restrictive </w:t>
      </w:r>
      <w:r w:rsidRPr="00BD720C">
        <w:lastRenderedPageBreak/>
        <w:t xml:space="preserve">alternatives to guardianship such as decisional </w:t>
      </w:r>
      <w:proofErr w:type="gramStart"/>
      <w:r w:rsidRPr="00BD720C">
        <w:t>supports</w:t>
      </w:r>
      <w:proofErr w:type="gramEnd"/>
      <w:r w:rsidRPr="00BD720C">
        <w:t xml:space="preserve"> or supported decision-making</w:t>
      </w:r>
      <w:r w:rsidR="00BD720C" w:rsidRPr="00BD720C">
        <w:t>.</w:t>
      </w:r>
    </w:p>
    <w:p w14:paraId="723A59B4" w14:textId="6A51A891" w:rsidR="00BD720C" w:rsidRDefault="0053602A" w:rsidP="0053602A">
      <w:pPr>
        <w:pStyle w:val="ListParagraph"/>
        <w:numPr>
          <w:ilvl w:val="2"/>
          <w:numId w:val="2"/>
        </w:numPr>
      </w:pPr>
      <w:r w:rsidRPr="0053602A">
        <w:t>Older adults who are victims of elder abuse, neglect or exploitation (including fraudulent and deceptive financial and consumer practices)</w:t>
      </w:r>
      <w:r w:rsidR="00BD720C">
        <w:t>.</w:t>
      </w:r>
    </w:p>
    <w:p w14:paraId="76AD1D80" w14:textId="44334310" w:rsidR="00BD720C" w:rsidRDefault="0053602A" w:rsidP="0053602A">
      <w:pPr>
        <w:pStyle w:val="ListParagraph"/>
        <w:numPr>
          <w:ilvl w:val="2"/>
          <w:numId w:val="2"/>
        </w:numPr>
      </w:pPr>
      <w:r w:rsidRPr="0053602A">
        <w:t xml:space="preserve">Older adults with chronic health problems or </w:t>
      </w:r>
      <w:proofErr w:type="gramStart"/>
      <w:r w:rsidRPr="0053602A">
        <w:t>particular problems</w:t>
      </w:r>
      <w:proofErr w:type="gramEnd"/>
      <w:r w:rsidRPr="0053602A">
        <w:t xml:space="preserve"> of access to health care</w:t>
      </w:r>
      <w:r w:rsidR="00BD720C">
        <w:t>.</w:t>
      </w:r>
    </w:p>
    <w:p w14:paraId="4D6E9618" w14:textId="7DA09C45" w:rsidR="0053602A" w:rsidRPr="0053602A" w:rsidRDefault="0053602A" w:rsidP="0053602A">
      <w:pPr>
        <w:pStyle w:val="ListParagraph"/>
        <w:numPr>
          <w:ilvl w:val="2"/>
          <w:numId w:val="2"/>
        </w:numPr>
      </w:pPr>
      <w:r w:rsidRPr="0053602A">
        <w:t>Older veterans</w:t>
      </w:r>
      <w:r w:rsidR="00BD720C">
        <w:t>.</w:t>
      </w:r>
    </w:p>
    <w:p w14:paraId="2EED5987" w14:textId="77777777" w:rsidR="00BD720C" w:rsidRPr="009D1E69" w:rsidRDefault="0053602A" w:rsidP="0053602A">
      <w:r w:rsidRPr="00BD720C">
        <w:rPr>
          <w:i/>
          <w:iCs/>
        </w:rPr>
        <w:t xml:space="preserve">This list is not exhaustive, nor in </w:t>
      </w:r>
      <w:proofErr w:type="gramStart"/>
      <w:r w:rsidRPr="00BD720C">
        <w:rPr>
          <w:i/>
          <w:iCs/>
        </w:rPr>
        <w:t>a priority</w:t>
      </w:r>
      <w:proofErr w:type="gramEnd"/>
      <w:r w:rsidRPr="00BD720C">
        <w:rPr>
          <w:i/>
          <w:iCs/>
        </w:rPr>
        <w:t xml:space="preserve"> order, but represents a range of possibilities. In addition, consideration should be given on the local level to the existence and </w:t>
      </w:r>
      <w:r w:rsidRPr="009D1E69">
        <w:t>availability of other resources to meet the legal needs of locally identified target populations.</w:t>
      </w:r>
    </w:p>
    <w:p w14:paraId="6432D5C9" w14:textId="74794DC1" w:rsidR="009D1E69" w:rsidRPr="009D1E69" w:rsidRDefault="0053602A" w:rsidP="0053602A">
      <w:pPr>
        <w:pStyle w:val="ListParagraph"/>
        <w:numPr>
          <w:ilvl w:val="1"/>
          <w:numId w:val="2"/>
        </w:numPr>
        <w:rPr>
          <w:i/>
          <w:iCs/>
        </w:rPr>
      </w:pPr>
      <w:r w:rsidRPr="009D1E69">
        <w:t>Providers shall offer quarterly community legal education sessions, with a minimum of four distinct sessions per year. Sessions</w:t>
      </w:r>
      <w:r w:rsidRPr="0053602A">
        <w:t xml:space="preserve"> should differ in duration, presentation type (</w:t>
      </w:r>
      <w:proofErr w:type="gramStart"/>
      <w:r w:rsidRPr="0053602A">
        <w:t>such as:</w:t>
      </w:r>
      <w:proofErr w:type="gramEnd"/>
      <w:r w:rsidRPr="0053602A">
        <w:t xml:space="preserve"> written/ verbal/ in-person/ virtual). Session rate / cost must include items such as staff time for preparation and presentation, driving, supplies and materials, and other aspects as determined necessary through negotiations.</w:t>
      </w:r>
    </w:p>
    <w:p w14:paraId="7CA991B7" w14:textId="77777777" w:rsidR="009D1E69" w:rsidRPr="009D1E69" w:rsidRDefault="009D1E69" w:rsidP="009D1E69">
      <w:pPr>
        <w:pStyle w:val="ListParagraph"/>
        <w:ind w:left="1440"/>
        <w:rPr>
          <w:i/>
          <w:iCs/>
        </w:rPr>
      </w:pPr>
    </w:p>
    <w:p w14:paraId="760D9C59" w14:textId="77777777" w:rsidR="009D1E69" w:rsidRPr="009D1E69" w:rsidRDefault="0053602A" w:rsidP="0053602A">
      <w:pPr>
        <w:pStyle w:val="ListParagraph"/>
        <w:numPr>
          <w:ilvl w:val="1"/>
          <w:numId w:val="2"/>
        </w:numPr>
        <w:rPr>
          <w:i/>
          <w:iCs/>
        </w:rPr>
      </w:pPr>
      <w:r w:rsidRPr="009D1E69">
        <w:t xml:space="preserve">The provider will </w:t>
      </w:r>
      <w:r w:rsidR="009D1E69" w:rsidRPr="009D1E69">
        <w:t>h</w:t>
      </w:r>
      <w:r w:rsidRPr="009D1E69">
        <w:t xml:space="preserve">old office hours </w:t>
      </w:r>
      <w:r w:rsidR="009D1E69" w:rsidRPr="009D1E69">
        <w:t>and</w:t>
      </w:r>
      <w:r w:rsidRPr="009D1E69">
        <w:t xml:space="preserve"> engage targeted outreach efforts (</w:t>
      </w:r>
      <w:proofErr w:type="gramStart"/>
      <w:r w:rsidRPr="009D1E69">
        <w:t>including, but</w:t>
      </w:r>
      <w:proofErr w:type="gramEnd"/>
      <w:r w:rsidRPr="009D1E69">
        <w:t xml:space="preserve"> not limited </w:t>
      </w:r>
      <w:proofErr w:type="gramStart"/>
      <w:r w:rsidRPr="009D1E69">
        <w:t>to</w:t>
      </w:r>
      <w:proofErr w:type="gramEnd"/>
      <w:r w:rsidRPr="009D1E69">
        <w:t xml:space="preserve"> off-site clinics or legal kiosks), and will be available to make home visits as necessary, to make legal assistance reasonably accessible to vulnerable and isolated older </w:t>
      </w:r>
      <w:proofErr w:type="gramStart"/>
      <w:r w:rsidRPr="009D1E69">
        <w:t>persons</w:t>
      </w:r>
      <w:proofErr w:type="gramEnd"/>
      <w:r w:rsidRPr="009D1E69">
        <w:t xml:space="preserve"> in the provider’s area.</w:t>
      </w:r>
    </w:p>
    <w:p w14:paraId="7E40A8DB" w14:textId="77777777" w:rsidR="009D1E69" w:rsidRPr="009D1E69" w:rsidRDefault="009D1E69" w:rsidP="009D1E69">
      <w:pPr>
        <w:pStyle w:val="ListParagraph"/>
        <w:ind w:left="1440"/>
        <w:rPr>
          <w:i/>
          <w:iCs/>
        </w:rPr>
      </w:pPr>
    </w:p>
    <w:p w14:paraId="54CCB5DC" w14:textId="254A153B" w:rsidR="0053602A" w:rsidRPr="009D1E69" w:rsidRDefault="0053602A" w:rsidP="0053602A">
      <w:pPr>
        <w:pStyle w:val="ListParagraph"/>
        <w:numPr>
          <w:ilvl w:val="1"/>
          <w:numId w:val="2"/>
        </w:numPr>
        <w:rPr>
          <w:i/>
          <w:iCs/>
        </w:rPr>
      </w:pPr>
      <w:r w:rsidRPr="009D1E69">
        <w:t>Adopt and abide by the Memorandum of Understanding (MOU) between the Office of Ombudsman for Long Term Care and Legal Service Providers as required by section 712(h)(8) of the Act (42 U.S.C. 3058(g)(h)(8). The MOU will be incorporated into the fully executed contract between the AAA and the provider.</w:t>
      </w:r>
    </w:p>
    <w:p w14:paraId="4C698EF0" w14:textId="77777777" w:rsidR="0053602A" w:rsidRPr="0053602A" w:rsidRDefault="0053602A" w:rsidP="004F0CEC">
      <w:pPr>
        <w:jc w:val="center"/>
        <w:rPr>
          <w:b/>
          <w:bCs/>
        </w:rPr>
      </w:pPr>
      <w:r w:rsidRPr="0053602A">
        <w:rPr>
          <w:b/>
          <w:bCs/>
        </w:rPr>
        <w:t>Other Legal Assistance Provider Requirements</w:t>
      </w:r>
    </w:p>
    <w:p w14:paraId="2926D6DE" w14:textId="77777777" w:rsidR="004F0CEC" w:rsidRDefault="0053602A" w:rsidP="0053602A">
      <w:pPr>
        <w:pStyle w:val="ListParagraph"/>
        <w:numPr>
          <w:ilvl w:val="0"/>
          <w:numId w:val="7"/>
        </w:numPr>
      </w:pPr>
      <w:r w:rsidRPr="0053602A">
        <w:t>A legal assistance provider may not require an older person to disclose information about income or resources as a condition for providing legal assistance under this part.</w:t>
      </w:r>
    </w:p>
    <w:p w14:paraId="73AED42E" w14:textId="77777777" w:rsidR="004F0CEC" w:rsidRDefault="004F0CEC" w:rsidP="004F0CEC">
      <w:pPr>
        <w:pStyle w:val="ListParagraph"/>
      </w:pPr>
    </w:p>
    <w:p w14:paraId="5A7B05E8" w14:textId="77777777" w:rsidR="004F0CEC" w:rsidRDefault="0053602A" w:rsidP="0053602A">
      <w:pPr>
        <w:pStyle w:val="ListParagraph"/>
        <w:numPr>
          <w:ilvl w:val="0"/>
          <w:numId w:val="7"/>
        </w:numPr>
      </w:pPr>
      <w:r w:rsidRPr="0053602A">
        <w:t>A legal assistance provider and its attorneys may engage in other legal activities to the extent that there is no conflict of interest nor other interference with their professional responsibilities under this Act.</w:t>
      </w:r>
    </w:p>
    <w:p w14:paraId="254D95FE" w14:textId="77777777" w:rsidR="004F0CEC" w:rsidRDefault="004F0CEC" w:rsidP="004F0CEC">
      <w:pPr>
        <w:pStyle w:val="ListParagraph"/>
      </w:pPr>
    </w:p>
    <w:p w14:paraId="1065D210" w14:textId="77777777" w:rsidR="004F0CEC" w:rsidRDefault="0053602A" w:rsidP="0053602A">
      <w:pPr>
        <w:pStyle w:val="ListParagraph"/>
        <w:numPr>
          <w:ilvl w:val="0"/>
          <w:numId w:val="7"/>
        </w:numPr>
      </w:pPr>
      <w:r w:rsidRPr="0053602A">
        <w:t xml:space="preserve">Legal assistance providers that are not housed within Legal Services Corporation grantee entities shall coordinate their services with existing Legal Services </w:t>
      </w:r>
      <w:r w:rsidRPr="0053602A">
        <w:lastRenderedPageBreak/>
        <w:t>Corporation projects to concentrate funds under this Act in providing legal assistance to older adults with the greatest economic need or greatest social need.</w:t>
      </w:r>
    </w:p>
    <w:p w14:paraId="686DF23B" w14:textId="77777777" w:rsidR="004F0CEC" w:rsidRDefault="004F0CEC" w:rsidP="004F0CEC">
      <w:pPr>
        <w:pStyle w:val="ListParagraph"/>
      </w:pPr>
    </w:p>
    <w:p w14:paraId="5D490783" w14:textId="77777777" w:rsidR="004F0CEC" w:rsidRDefault="0053602A" w:rsidP="0053602A">
      <w:pPr>
        <w:pStyle w:val="ListParagraph"/>
        <w:numPr>
          <w:ilvl w:val="0"/>
          <w:numId w:val="7"/>
        </w:numPr>
      </w:pPr>
      <w:r w:rsidRPr="0053602A">
        <w:t>Nothing in this section is intended to prohibit any attorney from providing any form of legal assistance to an eligible client, or to interfere with the fulfillment of any attorney’s professional responsibilities to a client.</w:t>
      </w:r>
    </w:p>
    <w:p w14:paraId="2D9B8E5F" w14:textId="77777777" w:rsidR="004F0CEC" w:rsidRDefault="004F0CEC" w:rsidP="004F0CEC">
      <w:pPr>
        <w:pStyle w:val="ListParagraph"/>
      </w:pPr>
    </w:p>
    <w:p w14:paraId="078D856A" w14:textId="3EB7DA1C" w:rsidR="0053602A" w:rsidRPr="00461B28" w:rsidRDefault="0053602A" w:rsidP="0053602A">
      <w:pPr>
        <w:pStyle w:val="ListParagraph"/>
        <w:numPr>
          <w:ilvl w:val="0"/>
          <w:numId w:val="7"/>
        </w:numPr>
      </w:pPr>
      <w:r w:rsidRPr="00461B28">
        <w:t xml:space="preserve">Legal assistance provider attorneys, staff and non-attorney personnel under the supervision of legal assistance </w:t>
      </w:r>
      <w:proofErr w:type="gramStart"/>
      <w:r w:rsidRPr="00461B28">
        <w:t>attorneys</w:t>
      </w:r>
      <w:r w:rsidR="004F0CEC" w:rsidRPr="00461B28">
        <w:t>,</w:t>
      </w:r>
      <w:proofErr w:type="gramEnd"/>
      <w:r w:rsidR="004F0CEC" w:rsidRPr="00461B28">
        <w:t xml:space="preserve"> </w:t>
      </w:r>
      <w:r w:rsidRPr="00461B28">
        <w:t>must adhere to the applicable Minnesota Rules of Professional Conduct.</w:t>
      </w:r>
    </w:p>
    <w:p w14:paraId="5B43F179" w14:textId="77777777" w:rsidR="0053602A" w:rsidRPr="0053602A" w:rsidRDefault="0053602A" w:rsidP="00461B28">
      <w:pPr>
        <w:jc w:val="center"/>
        <w:rPr>
          <w:b/>
          <w:bCs/>
        </w:rPr>
      </w:pPr>
      <w:r w:rsidRPr="0053602A">
        <w:rPr>
          <w:b/>
          <w:bCs/>
        </w:rPr>
        <w:t>Restrictions on Legal Assistance</w:t>
      </w:r>
    </w:p>
    <w:p w14:paraId="402C43E1" w14:textId="77777777" w:rsidR="00461B28" w:rsidRDefault="0053602A" w:rsidP="0053602A">
      <w:pPr>
        <w:pStyle w:val="ListParagraph"/>
        <w:numPr>
          <w:ilvl w:val="0"/>
          <w:numId w:val="8"/>
        </w:numPr>
      </w:pPr>
      <w:r w:rsidRPr="0053602A">
        <w:t>No legal assistance provider(s) shall use funds received under the Act to provide legal assistance in a fee generating case unless other adequate representation is unavailable or there is an emergency requiring immediate legal action. All providers shall establish procedures for the referral of fee generating cases.</w:t>
      </w:r>
    </w:p>
    <w:p w14:paraId="6E980C4B" w14:textId="77777777" w:rsidR="00461B28" w:rsidRDefault="00461B28" w:rsidP="00461B28">
      <w:pPr>
        <w:pStyle w:val="ListParagraph"/>
      </w:pPr>
    </w:p>
    <w:p w14:paraId="034C350C" w14:textId="77777777" w:rsidR="00461B28" w:rsidRDefault="0053602A" w:rsidP="0053602A">
      <w:pPr>
        <w:pStyle w:val="ListParagraph"/>
        <w:numPr>
          <w:ilvl w:val="1"/>
          <w:numId w:val="8"/>
        </w:numPr>
      </w:pPr>
      <w:r w:rsidRPr="0053602A">
        <w:t xml:space="preserve">‘‘Fee generating </w:t>
      </w:r>
      <w:proofErr w:type="gramStart"/>
      <w:r w:rsidRPr="0053602A">
        <w:t>case’’</w:t>
      </w:r>
      <w:proofErr w:type="gramEnd"/>
      <w:r w:rsidRPr="0053602A">
        <w:t xml:space="preserve"> means any case or matter which, if undertaken on behalf of an eligible client by an attorney in private practice, reasonably may be expected to result in a fee for legal services from an award to a client, from public funds, or from the opposing party.</w:t>
      </w:r>
    </w:p>
    <w:p w14:paraId="7A55EE05" w14:textId="77777777" w:rsidR="00461B28" w:rsidRDefault="00461B28" w:rsidP="00461B28">
      <w:pPr>
        <w:pStyle w:val="ListParagraph"/>
        <w:ind w:left="1440"/>
      </w:pPr>
    </w:p>
    <w:p w14:paraId="0B7DD015" w14:textId="77777777" w:rsidR="00461B28" w:rsidRDefault="0053602A" w:rsidP="0053602A">
      <w:pPr>
        <w:pStyle w:val="ListParagraph"/>
        <w:numPr>
          <w:ilvl w:val="1"/>
          <w:numId w:val="8"/>
        </w:numPr>
      </w:pPr>
      <w:r w:rsidRPr="0053602A">
        <w:t>Other adequate representation is deemed to be unavailable when:</w:t>
      </w:r>
    </w:p>
    <w:p w14:paraId="6AE1E18B" w14:textId="77777777" w:rsidR="00461B28" w:rsidRDefault="0053602A" w:rsidP="0053602A">
      <w:pPr>
        <w:pStyle w:val="ListParagraph"/>
        <w:numPr>
          <w:ilvl w:val="2"/>
          <w:numId w:val="8"/>
        </w:numPr>
      </w:pPr>
      <w:r w:rsidRPr="0053602A">
        <w:t>Recovery of damages is not the principal object of the client; or</w:t>
      </w:r>
    </w:p>
    <w:p w14:paraId="5C8F0A3D" w14:textId="77777777" w:rsidR="00461B28" w:rsidRDefault="0053602A" w:rsidP="0053602A">
      <w:pPr>
        <w:pStyle w:val="ListParagraph"/>
        <w:numPr>
          <w:ilvl w:val="2"/>
          <w:numId w:val="8"/>
        </w:numPr>
      </w:pPr>
      <w:r w:rsidRPr="0053602A">
        <w:t>A court appoints a provider or an employee of a provider pursuant to a statute or a court rule or practice of equal applicability to all attorneys in the jurisdiction; or</w:t>
      </w:r>
    </w:p>
    <w:p w14:paraId="61666C7A" w14:textId="784079D6" w:rsidR="0053602A" w:rsidRPr="0053602A" w:rsidRDefault="0053602A" w:rsidP="0053602A">
      <w:pPr>
        <w:pStyle w:val="ListParagraph"/>
        <w:numPr>
          <w:ilvl w:val="2"/>
          <w:numId w:val="8"/>
        </w:numPr>
      </w:pPr>
      <w:r w:rsidRPr="0053602A">
        <w:t>An eligible client is seeking benefits under Title II of the Social Security Act (42 U.S.C. 401 et seq.), Federal Old Age, Survivors, and Disability Insurance Benefits; or Title XVI of the Social Security Act (42 U.S.C. 1381 et seq.), Supplemental Security Income for Aged, Blind, and Disabled.</w:t>
      </w:r>
    </w:p>
    <w:p w14:paraId="13F10408" w14:textId="77777777" w:rsidR="00461B28" w:rsidRDefault="0053602A" w:rsidP="0053602A">
      <w:pPr>
        <w:pStyle w:val="ListParagraph"/>
        <w:numPr>
          <w:ilvl w:val="0"/>
          <w:numId w:val="8"/>
        </w:numPr>
      </w:pPr>
      <w:r w:rsidRPr="0053602A">
        <w:t>A provider may seek and accept a fee awarded or approved by a court or administrative body or included in a settlement.</w:t>
      </w:r>
    </w:p>
    <w:p w14:paraId="174AA76F" w14:textId="77777777" w:rsidR="00461B28" w:rsidRDefault="00461B28" w:rsidP="00461B28">
      <w:pPr>
        <w:pStyle w:val="ListParagraph"/>
      </w:pPr>
    </w:p>
    <w:p w14:paraId="430D549B" w14:textId="203473C9" w:rsidR="0053602A" w:rsidRPr="0053602A" w:rsidRDefault="0053602A" w:rsidP="0053602A">
      <w:pPr>
        <w:pStyle w:val="ListParagraph"/>
        <w:numPr>
          <w:ilvl w:val="0"/>
          <w:numId w:val="8"/>
        </w:numPr>
      </w:pPr>
      <w:r w:rsidRPr="0053602A">
        <w:t>When a case or matter accepted in accordance with this section results in a recovery of damages, other than statutory benefits, a provider may accept reimbursement for out-of-pocket costs and expenses incurred in connection with the case or matter.</w:t>
      </w:r>
    </w:p>
    <w:p w14:paraId="71739047" w14:textId="77777777" w:rsidR="0053602A" w:rsidRPr="0053602A" w:rsidRDefault="0053602A" w:rsidP="00461B28">
      <w:pPr>
        <w:jc w:val="center"/>
        <w:rPr>
          <w:b/>
          <w:bCs/>
        </w:rPr>
      </w:pPr>
      <w:r w:rsidRPr="0053602A">
        <w:rPr>
          <w:b/>
          <w:bCs/>
        </w:rPr>
        <w:t>Legal Assistance Provider Prohibited Activities</w:t>
      </w:r>
    </w:p>
    <w:p w14:paraId="204EB0A3" w14:textId="77777777" w:rsidR="00461B28" w:rsidRDefault="0053602A" w:rsidP="0053602A">
      <w:pPr>
        <w:pStyle w:val="ListParagraph"/>
        <w:numPr>
          <w:ilvl w:val="0"/>
          <w:numId w:val="9"/>
        </w:numPr>
      </w:pPr>
      <w:r w:rsidRPr="0053602A">
        <w:lastRenderedPageBreak/>
        <w:t>Prohibited activities of legal assistance providers (inclusive of all individuals employed by the provider) include the following political activities:</w:t>
      </w:r>
    </w:p>
    <w:p w14:paraId="3844C5F9" w14:textId="77777777" w:rsidR="00461B28" w:rsidRDefault="0053602A" w:rsidP="0053602A">
      <w:pPr>
        <w:pStyle w:val="ListParagraph"/>
        <w:numPr>
          <w:ilvl w:val="1"/>
          <w:numId w:val="9"/>
        </w:numPr>
      </w:pPr>
      <w:r w:rsidRPr="0053602A">
        <w:t xml:space="preserve">No provider or its </w:t>
      </w:r>
      <w:proofErr w:type="gramStart"/>
      <w:r w:rsidRPr="0053602A">
        <w:t>employees shall</w:t>
      </w:r>
      <w:proofErr w:type="gramEnd"/>
      <w:r w:rsidRPr="0053602A">
        <w:t xml:space="preserve"> contribute or make available funds, personnel, or equipment provided under the Act to any political party or association or to the campaign of any candidate for public or party office; or for use in advocating or opposing any ballot measure, initiative, or referendum;</w:t>
      </w:r>
    </w:p>
    <w:p w14:paraId="2BBADF92" w14:textId="77777777" w:rsidR="00461B28" w:rsidRDefault="0053602A" w:rsidP="0053602A">
      <w:pPr>
        <w:pStyle w:val="ListParagraph"/>
        <w:numPr>
          <w:ilvl w:val="1"/>
          <w:numId w:val="9"/>
        </w:numPr>
      </w:pPr>
      <w:r w:rsidRPr="0053602A">
        <w:t>No provider or its employees shall intentionally identify the Title III program or provider with any partisan or nonpartisan political activity, or with the campaign of any candidate for public or party office; or</w:t>
      </w:r>
    </w:p>
    <w:p w14:paraId="1FFBC3BE" w14:textId="0BAA9FA3" w:rsidR="0053602A" w:rsidRDefault="00461B28" w:rsidP="0053602A">
      <w:pPr>
        <w:pStyle w:val="ListParagraph"/>
        <w:numPr>
          <w:ilvl w:val="1"/>
          <w:numId w:val="9"/>
        </w:numPr>
      </w:pPr>
      <w:r>
        <w:t>W</w:t>
      </w:r>
      <w:r w:rsidR="0053602A" w:rsidRPr="0053602A">
        <w:t>hile engaged in legal assistance activities supported under the Act, no provider or its employees shall engage in any political activity.</w:t>
      </w:r>
    </w:p>
    <w:p w14:paraId="7FA0E8FE" w14:textId="77777777" w:rsidR="00461B28" w:rsidRPr="0053602A" w:rsidRDefault="00461B28" w:rsidP="00461B28">
      <w:pPr>
        <w:pStyle w:val="ListParagraph"/>
        <w:ind w:left="1440"/>
      </w:pPr>
    </w:p>
    <w:p w14:paraId="36848705" w14:textId="77777777" w:rsidR="00461B28" w:rsidRDefault="0053602A" w:rsidP="0053602A">
      <w:pPr>
        <w:pStyle w:val="ListParagraph"/>
        <w:numPr>
          <w:ilvl w:val="0"/>
          <w:numId w:val="9"/>
        </w:numPr>
      </w:pPr>
      <w:r w:rsidRPr="0053602A">
        <w:t>No funds made available under the Act shall be used for lobbying activities including, but not limited to, any activities intended to influence any decision or activity by a nonjudicial Federal, State, or local individual or body.</w:t>
      </w:r>
    </w:p>
    <w:p w14:paraId="1F355544" w14:textId="77777777" w:rsidR="00461B28" w:rsidRDefault="0053602A" w:rsidP="0053602A">
      <w:pPr>
        <w:pStyle w:val="ListParagraph"/>
        <w:numPr>
          <w:ilvl w:val="1"/>
          <w:numId w:val="9"/>
        </w:numPr>
      </w:pPr>
      <w:r w:rsidRPr="0053602A">
        <w:t>These limitations are not intended to prohibit an employee from:</w:t>
      </w:r>
    </w:p>
    <w:p w14:paraId="3DAA4569" w14:textId="77777777" w:rsidR="00461B28" w:rsidRDefault="0053602A" w:rsidP="0053602A">
      <w:pPr>
        <w:pStyle w:val="ListParagraph"/>
        <w:numPr>
          <w:ilvl w:val="2"/>
          <w:numId w:val="9"/>
        </w:numPr>
      </w:pPr>
      <w:r w:rsidRPr="0053602A">
        <w:t>Communicating with a governmental agency for the purpose of obtaining information, clarification, or interpretation of the agency’s rules, regulations, practices, or policies;</w:t>
      </w:r>
    </w:p>
    <w:p w14:paraId="661AE7F5" w14:textId="77777777" w:rsidR="00461B28" w:rsidRDefault="0053602A" w:rsidP="0053602A">
      <w:pPr>
        <w:pStyle w:val="ListParagraph"/>
        <w:numPr>
          <w:ilvl w:val="2"/>
          <w:numId w:val="9"/>
        </w:numPr>
      </w:pPr>
      <w:r w:rsidRPr="0053602A">
        <w:t>Informing a client about a new or proposed statute, executive order, or administrative regulation relevant to the client’s legal matter;</w:t>
      </w:r>
    </w:p>
    <w:p w14:paraId="3B8C264C" w14:textId="77777777" w:rsidR="006A190D" w:rsidRDefault="0053602A" w:rsidP="0053602A">
      <w:pPr>
        <w:pStyle w:val="ListParagraph"/>
        <w:numPr>
          <w:ilvl w:val="2"/>
          <w:numId w:val="9"/>
        </w:numPr>
      </w:pPr>
      <w:r w:rsidRPr="0053602A">
        <w:t xml:space="preserve">Responding to an individual client’s request for advice only with respect to the client’s own communications to officials unless otherwise prohibited by the Act, Title III regulations or other applicable law. This provision does not authorize </w:t>
      </w:r>
      <w:proofErr w:type="gramStart"/>
      <w:r w:rsidRPr="0053602A">
        <w:t>publication</w:t>
      </w:r>
      <w:proofErr w:type="gramEnd"/>
      <w:r w:rsidRPr="0053602A">
        <w:t xml:space="preserve"> or training of clients on lobbying techniques or the composition of a communication for the client’s use;</w:t>
      </w:r>
    </w:p>
    <w:p w14:paraId="280D1D39" w14:textId="77777777" w:rsidR="006A190D" w:rsidRDefault="0053602A" w:rsidP="0053602A">
      <w:pPr>
        <w:pStyle w:val="ListParagraph"/>
        <w:numPr>
          <w:ilvl w:val="2"/>
          <w:numId w:val="9"/>
        </w:numPr>
      </w:pPr>
      <w:r w:rsidRPr="0053602A">
        <w:t>Making direct contact with the area agency for any purpose; or</w:t>
      </w:r>
    </w:p>
    <w:p w14:paraId="572ED319" w14:textId="3183CAF0" w:rsidR="0053602A" w:rsidRDefault="0053602A" w:rsidP="0053602A">
      <w:pPr>
        <w:pStyle w:val="ListParagraph"/>
        <w:numPr>
          <w:ilvl w:val="2"/>
          <w:numId w:val="9"/>
        </w:numPr>
      </w:pPr>
      <w:r w:rsidRPr="0053602A">
        <w:t>Testifying before a government agency, legislative body, or committee at the request of the government agency, legislative body, or committee.</w:t>
      </w:r>
    </w:p>
    <w:p w14:paraId="1B86262D" w14:textId="77777777" w:rsidR="006A190D" w:rsidRPr="0053602A" w:rsidRDefault="006A190D" w:rsidP="006A190D">
      <w:pPr>
        <w:pStyle w:val="ListParagraph"/>
        <w:ind w:left="2160"/>
      </w:pPr>
    </w:p>
    <w:p w14:paraId="4EA687DA" w14:textId="77777777" w:rsidR="006A190D" w:rsidRDefault="0053602A" w:rsidP="0053602A">
      <w:pPr>
        <w:pStyle w:val="ListParagraph"/>
        <w:numPr>
          <w:ilvl w:val="1"/>
          <w:numId w:val="9"/>
        </w:numPr>
      </w:pPr>
      <w:r w:rsidRPr="0053602A">
        <w:t>A provider may use funds provided by private sources to engage in lobbying activities if a government agency, elected official, legislative body, committee, or member thereof is considering a measure directly affecting activities of the provider under the Act;</w:t>
      </w:r>
    </w:p>
    <w:p w14:paraId="2775BE4E" w14:textId="77777777" w:rsidR="006A190D" w:rsidRDefault="006A190D" w:rsidP="006A190D">
      <w:pPr>
        <w:pStyle w:val="ListParagraph"/>
        <w:ind w:left="1440"/>
      </w:pPr>
    </w:p>
    <w:p w14:paraId="6DE9507E" w14:textId="77777777" w:rsidR="006A190D" w:rsidRDefault="0053602A" w:rsidP="0053602A">
      <w:pPr>
        <w:pStyle w:val="ListParagraph"/>
        <w:numPr>
          <w:ilvl w:val="1"/>
          <w:numId w:val="9"/>
        </w:numPr>
      </w:pPr>
      <w:r w:rsidRPr="0053602A">
        <w:t>While carrying out legal assistance activities and while using resources provided under the Act, by private entities or by a recipient, directly or through a subrecipient, no provider or its employees shall:</w:t>
      </w:r>
    </w:p>
    <w:p w14:paraId="2C818943" w14:textId="77777777" w:rsidR="006A190D" w:rsidRDefault="006A190D" w:rsidP="0053602A">
      <w:pPr>
        <w:pStyle w:val="ListParagraph"/>
        <w:numPr>
          <w:ilvl w:val="2"/>
          <w:numId w:val="9"/>
        </w:numPr>
      </w:pPr>
      <w:r>
        <w:lastRenderedPageBreak/>
        <w:t>P</w:t>
      </w:r>
      <w:r w:rsidR="0053602A" w:rsidRPr="0053602A">
        <w:t xml:space="preserve">articipate in any public demonstration, picketing, </w:t>
      </w:r>
      <w:proofErr w:type="gramStart"/>
      <w:r w:rsidR="0053602A" w:rsidRPr="0053602A">
        <w:t>boycott</w:t>
      </w:r>
      <w:proofErr w:type="gramEnd"/>
      <w:r w:rsidR="0053602A" w:rsidRPr="0053602A">
        <w:t>, or strike, whether in person or online, except as permitted by law in connection with the employee’s own employment situation;</w:t>
      </w:r>
    </w:p>
    <w:p w14:paraId="7DC8F86F" w14:textId="77777777" w:rsidR="006A190D" w:rsidRDefault="0053602A" w:rsidP="0053602A">
      <w:pPr>
        <w:pStyle w:val="ListParagraph"/>
        <w:numPr>
          <w:ilvl w:val="2"/>
          <w:numId w:val="9"/>
        </w:numPr>
      </w:pPr>
      <w:r w:rsidRPr="0053602A">
        <w:t>Encourage, direct, or coerce others to engage in such activities; or</w:t>
      </w:r>
    </w:p>
    <w:p w14:paraId="0EA2B0D4" w14:textId="77777777" w:rsidR="006A190D" w:rsidRDefault="0053602A" w:rsidP="0053602A">
      <w:pPr>
        <w:pStyle w:val="ListParagraph"/>
        <w:numPr>
          <w:ilvl w:val="2"/>
          <w:numId w:val="9"/>
        </w:numPr>
      </w:pPr>
      <w:r w:rsidRPr="0053602A">
        <w:t xml:space="preserve">At any </w:t>
      </w:r>
      <w:proofErr w:type="gramStart"/>
      <w:r w:rsidRPr="0053602A">
        <w:t>time</w:t>
      </w:r>
      <w:proofErr w:type="gramEnd"/>
      <w:r w:rsidRPr="0053602A">
        <w:t xml:space="preserve"> engage in or encourage others to engage in:</w:t>
      </w:r>
    </w:p>
    <w:p w14:paraId="2AF1B668" w14:textId="77777777" w:rsidR="009E7C61" w:rsidRDefault="0053602A" w:rsidP="006A190D">
      <w:pPr>
        <w:pStyle w:val="ListParagraph"/>
        <w:numPr>
          <w:ilvl w:val="3"/>
          <w:numId w:val="9"/>
        </w:numPr>
      </w:pPr>
      <w:r w:rsidRPr="0053602A">
        <w:t xml:space="preserve">Rioting or civil disturbance; </w:t>
      </w:r>
    </w:p>
    <w:p w14:paraId="05F2494F" w14:textId="7B3F38EA" w:rsidR="009E7C61" w:rsidRDefault="0053602A" w:rsidP="006A190D">
      <w:pPr>
        <w:pStyle w:val="ListParagraph"/>
        <w:numPr>
          <w:ilvl w:val="3"/>
          <w:numId w:val="9"/>
        </w:numPr>
      </w:pPr>
      <w:r w:rsidRPr="0053602A">
        <w:t>activity determined by a court to be in violation of an outstanding injunction of any court of competent jurisdiction</w:t>
      </w:r>
      <w:r w:rsidR="009E7C61">
        <w:t>.</w:t>
      </w:r>
    </w:p>
    <w:p w14:paraId="17A8B965" w14:textId="454D429A" w:rsidR="009E7C61" w:rsidRDefault="0053602A" w:rsidP="006A190D">
      <w:pPr>
        <w:pStyle w:val="ListParagraph"/>
        <w:numPr>
          <w:ilvl w:val="3"/>
          <w:numId w:val="9"/>
        </w:numPr>
      </w:pPr>
      <w:r w:rsidRPr="0053602A">
        <w:t>any illegal activity</w:t>
      </w:r>
      <w:r w:rsidR="009E7C61">
        <w:t>.</w:t>
      </w:r>
    </w:p>
    <w:p w14:paraId="37CD13B2" w14:textId="02B74AE3" w:rsidR="008160CB" w:rsidRDefault="0053602A" w:rsidP="008160CB">
      <w:pPr>
        <w:pStyle w:val="ListParagraph"/>
        <w:numPr>
          <w:ilvl w:val="3"/>
          <w:numId w:val="9"/>
        </w:numPr>
      </w:pPr>
      <w:r w:rsidRPr="0053602A">
        <w:t>any intentional identification of programs funded under the Act or recipient with any partisan or nonpartisan political activity, or with the campaign of any candidate for public or party office.</w:t>
      </w:r>
    </w:p>
    <w:p w14:paraId="707397C7" w14:textId="77777777" w:rsidR="008160CB" w:rsidRDefault="008160CB" w:rsidP="008160CB">
      <w:pPr>
        <w:pStyle w:val="ListParagraph"/>
      </w:pPr>
    </w:p>
    <w:p w14:paraId="3B15C32C" w14:textId="2231D92D" w:rsidR="0053602A" w:rsidRPr="0053602A" w:rsidRDefault="008160CB" w:rsidP="008160CB">
      <w:pPr>
        <w:ind w:left="720" w:hanging="360"/>
      </w:pPr>
      <w:r>
        <w:t xml:space="preserve">3. </w:t>
      </w:r>
      <w:r>
        <w:tab/>
      </w:r>
      <w:r w:rsidR="0053602A" w:rsidRPr="0053602A">
        <w:t xml:space="preserve">None of the funds made available under the Act may be used to pay dues exceeding a reasonable amount per legal assistance provider per annum to any organization (other than a bar association), </w:t>
      </w:r>
      <w:proofErr w:type="gramStart"/>
      <w:r w:rsidR="0053602A" w:rsidRPr="0053602A">
        <w:t>a purpose</w:t>
      </w:r>
      <w:proofErr w:type="gramEnd"/>
      <w:r w:rsidR="0053602A" w:rsidRPr="0053602A">
        <w:t xml:space="preserve"> or function of which is to engage in activities prohibited under these regulations. Such dues may not be used to engage in activities for which Older Americans Act funds cannot be directly used.</w:t>
      </w:r>
    </w:p>
    <w:p w14:paraId="392E9774" w14:textId="77777777" w:rsidR="00811C1B" w:rsidRPr="00811C1B" w:rsidRDefault="00811C1B" w:rsidP="008160CB">
      <w:pPr>
        <w:jc w:val="center"/>
        <w:rPr>
          <w:b/>
          <w:bCs/>
        </w:rPr>
      </w:pPr>
      <w:r w:rsidRPr="00811C1B">
        <w:rPr>
          <w:b/>
          <w:bCs/>
        </w:rPr>
        <w:t>Annual Meetings and Activities</w:t>
      </w:r>
    </w:p>
    <w:p w14:paraId="4B750645" w14:textId="0D315237" w:rsidR="00811C1B" w:rsidRDefault="008160CB" w:rsidP="008160CB">
      <w:pPr>
        <w:pStyle w:val="ListParagraph"/>
        <w:numPr>
          <w:ilvl w:val="0"/>
          <w:numId w:val="13"/>
        </w:numPr>
      </w:pPr>
      <w:r>
        <w:t>The AAA</w:t>
      </w:r>
      <w:r w:rsidR="00811C1B" w:rsidRPr="00811C1B">
        <w:t xml:space="preserve"> and legal service providers should discuss community legal education and outreach/prioritization goals on an annual basis. AAAs should encourage providers to offer education and information through a variety of forums and accessible formats </w:t>
      </w:r>
      <w:proofErr w:type="gramStart"/>
      <w:r w:rsidR="00811C1B" w:rsidRPr="00811C1B">
        <w:t>including, but</w:t>
      </w:r>
      <w:proofErr w:type="gramEnd"/>
      <w:r w:rsidR="00811C1B" w:rsidRPr="00811C1B">
        <w:t xml:space="preserve"> not limited </w:t>
      </w:r>
      <w:proofErr w:type="gramStart"/>
      <w:r w:rsidR="00811C1B" w:rsidRPr="00811C1B">
        <w:t>to:</w:t>
      </w:r>
      <w:proofErr w:type="gramEnd"/>
      <w:r w:rsidR="00811C1B" w:rsidRPr="00811C1B">
        <w:t xml:space="preserve"> in-person or virtual presentations; a staffed table/ booth/ exhibit at a public event or outreach engagement; formal presentation of legal issues and provider access information on radio, TV, or web site, and social media platforms. A provider is expected to use a variety of formats </w:t>
      </w:r>
      <w:proofErr w:type="gramStart"/>
      <w:r w:rsidR="00811C1B" w:rsidRPr="00811C1B">
        <w:t>in order to</w:t>
      </w:r>
      <w:proofErr w:type="gramEnd"/>
      <w:r w:rsidR="00811C1B" w:rsidRPr="00811C1B">
        <w:t xml:space="preserve"> engage targeted populations, an example of a work plan reflecting how such sessions could be developed and reported follows this section. AAAs should make efforts to facilitate education events for legal service providers with contracted and partner organizations.</w:t>
      </w:r>
    </w:p>
    <w:p w14:paraId="473193A8" w14:textId="77777777" w:rsidR="008160CB" w:rsidRPr="00811C1B" w:rsidRDefault="008160CB" w:rsidP="008160CB">
      <w:pPr>
        <w:pStyle w:val="ListParagraph"/>
      </w:pPr>
    </w:p>
    <w:p w14:paraId="733F09CE" w14:textId="77777777" w:rsidR="008160CB" w:rsidRPr="008160CB" w:rsidRDefault="00811C1B" w:rsidP="00811C1B">
      <w:pPr>
        <w:pStyle w:val="ListParagraph"/>
        <w:numPr>
          <w:ilvl w:val="0"/>
          <w:numId w:val="13"/>
        </w:numPr>
      </w:pPr>
      <w:r w:rsidRPr="00811C1B">
        <w:t xml:space="preserve">On an annual basis, the legal service provider will meet with a representative of the Office of the Ombudsman for Long Term care to discuss ongoing coordination, </w:t>
      </w:r>
      <w:r w:rsidRPr="008160CB">
        <w:t>communication and appropriate targeting of services to the populations served by the OOLTC. The existing MOU between legal provider and OOLTC will also be reviewed on an annual basis.</w:t>
      </w:r>
      <w:r w:rsidR="008160CB" w:rsidRPr="008160CB">
        <w:t xml:space="preserve"> </w:t>
      </w:r>
      <w:r w:rsidRPr="008160CB">
        <w:t>If requested, the State Legal Assistance Developer will assist by facilitating these meetings. As possible, advocacy activities may also be coordinated with the local program office or regional ombudsman.</w:t>
      </w:r>
    </w:p>
    <w:p w14:paraId="367590D5" w14:textId="77777777" w:rsidR="008160CB" w:rsidRDefault="008160CB" w:rsidP="008160CB">
      <w:pPr>
        <w:pStyle w:val="ListParagraph"/>
      </w:pPr>
    </w:p>
    <w:p w14:paraId="74853C42" w14:textId="77777777" w:rsidR="008160CB" w:rsidRDefault="00811C1B" w:rsidP="00811C1B">
      <w:pPr>
        <w:pStyle w:val="ListParagraph"/>
        <w:numPr>
          <w:ilvl w:val="0"/>
          <w:numId w:val="13"/>
        </w:numPr>
      </w:pPr>
      <w:r w:rsidRPr="00811C1B">
        <w:t>On an annual basis, the legal service provider will meet with a regional Senior Linkage Line representative from the local AAA to enhance understanding, ensure appropriate referral protocols and establish stronger working relationships between the two services of the AAA. If requested, the State Legal Assistance Developer will assist by facilitating these meetings.</w:t>
      </w:r>
    </w:p>
    <w:p w14:paraId="14623011" w14:textId="77777777" w:rsidR="008160CB" w:rsidRDefault="00811C1B" w:rsidP="00811C1B">
      <w:pPr>
        <w:pStyle w:val="ListParagraph"/>
        <w:numPr>
          <w:ilvl w:val="0"/>
          <w:numId w:val="13"/>
        </w:numPr>
      </w:pPr>
      <w:r w:rsidRPr="008160CB">
        <w:t>The legal service provider will develop annual workplans for community legal education programs and outreach strategies that incorporate the most recent information from older adult legal needs surveys, general legal needs studies, regional legal priorities and other relevant information</w:t>
      </w:r>
      <w:r w:rsidR="008160CB" w:rsidRPr="008160CB">
        <w:t xml:space="preserve">. </w:t>
      </w:r>
      <w:r w:rsidRPr="008160CB">
        <w:t>The AAA should share information regarding education programs and outreach plans with elder justice network providers and other AAA providers to allow for effective collaboration and appropriate prioritization of client subpopulations.</w:t>
      </w:r>
    </w:p>
    <w:p w14:paraId="004F79D4" w14:textId="77777777" w:rsidR="008160CB" w:rsidRDefault="008160CB" w:rsidP="008160CB">
      <w:pPr>
        <w:pStyle w:val="ListParagraph"/>
      </w:pPr>
    </w:p>
    <w:p w14:paraId="7E29FE2D" w14:textId="77777777" w:rsidR="008160CB" w:rsidRDefault="00811C1B" w:rsidP="00811C1B">
      <w:pPr>
        <w:pStyle w:val="ListParagraph"/>
        <w:numPr>
          <w:ilvl w:val="0"/>
          <w:numId w:val="13"/>
        </w:numPr>
      </w:pPr>
      <w:r w:rsidRPr="00811C1B">
        <w:t>The State Legal Assistance Developer, working with AAAs, shall ensure that all state legal assistance providers receiving Title III B monies meet at least once annually to discuss statewide legal needs and propose targets for effective and quality legal services under the Older Americans Act. The purpose of this meeting is to coordinate community legal education sessions and the provision of legal services to older adults, and to engage in joint planning and cross training efforts with other legal assistance providers as well as members of the elder justice community and direct services of the MBA.</w:t>
      </w:r>
    </w:p>
    <w:p w14:paraId="6E7C83F0" w14:textId="77777777" w:rsidR="008160CB" w:rsidRDefault="008160CB" w:rsidP="008160CB">
      <w:pPr>
        <w:pStyle w:val="ListParagraph"/>
      </w:pPr>
    </w:p>
    <w:p w14:paraId="7E28473C" w14:textId="2C08F3C4" w:rsidR="00811C1B" w:rsidRPr="00811C1B" w:rsidRDefault="00811C1B" w:rsidP="00811C1B">
      <w:pPr>
        <w:pStyle w:val="ListParagraph"/>
        <w:numPr>
          <w:ilvl w:val="0"/>
          <w:numId w:val="13"/>
        </w:numPr>
      </w:pPr>
      <w:r w:rsidRPr="00811C1B">
        <w:t xml:space="preserve">The State Legal Assistance Developer will schedule a minimum of two annual meetings with AAA staff involved with legal assistance programming. These meetings will be set in the second and fourth quarters of each year to review contract work plans, goals, progress and updated information regarding legal needs as identified through submitted reports and other data from the regional AAA and legal service provider. One of these meetings must include the legal service provider(s) currently serving as </w:t>
      </w:r>
      <w:proofErr w:type="gramStart"/>
      <w:r w:rsidRPr="00811C1B">
        <w:t>the AAA’s</w:t>
      </w:r>
      <w:proofErr w:type="gramEnd"/>
      <w:r w:rsidRPr="00811C1B">
        <w:t xml:space="preserve"> Title III legal provider.</w:t>
      </w:r>
    </w:p>
    <w:p w14:paraId="6A41D463" w14:textId="77777777" w:rsidR="00811C1B" w:rsidRPr="00811C1B" w:rsidRDefault="00811C1B" w:rsidP="008160CB">
      <w:pPr>
        <w:jc w:val="center"/>
        <w:rPr>
          <w:b/>
          <w:bCs/>
        </w:rPr>
      </w:pPr>
      <w:r w:rsidRPr="00811C1B">
        <w:rPr>
          <w:b/>
          <w:bCs/>
        </w:rPr>
        <w:t>Record Keeping and Reporting Requirements</w:t>
      </w:r>
    </w:p>
    <w:p w14:paraId="1CB9BB9A" w14:textId="77777777" w:rsidR="008160CB" w:rsidRDefault="00811C1B" w:rsidP="00811C1B">
      <w:pPr>
        <w:pStyle w:val="ListParagraph"/>
        <w:numPr>
          <w:ilvl w:val="0"/>
          <w:numId w:val="14"/>
        </w:numPr>
      </w:pPr>
      <w:r w:rsidRPr="00811C1B">
        <w:t>Legal assistance providers will use the Older Americans Act Performance System (OAAPS) guidelines to collect and report client and case data to the AAA and MBA on a quarterly basis. The MBA will provide reporting instructions and specific definitions to ensure compliance with the OAAPS system. The OAAPS system follows a federal fiscal year, beginning each October 1 and ending September 30. As AAA contracts with service providers are on a calendar year schedule, beginning January 1 and ending December 31, the reporting timelines to be followed are set out below:</w:t>
      </w:r>
    </w:p>
    <w:p w14:paraId="5C58012B" w14:textId="77777777" w:rsidR="008160CB" w:rsidRDefault="00811C1B" w:rsidP="00811C1B">
      <w:pPr>
        <w:pStyle w:val="ListParagraph"/>
        <w:numPr>
          <w:ilvl w:val="1"/>
          <w:numId w:val="14"/>
        </w:numPr>
      </w:pPr>
      <w:r w:rsidRPr="00811C1B">
        <w:t xml:space="preserve">On January 10 (or a contractually defined date): Provider sends reporting information directly to AAA. On or before January 15, the AAA submits all reporting information received from </w:t>
      </w:r>
      <w:proofErr w:type="gramStart"/>
      <w:r w:rsidRPr="00811C1B">
        <w:t>provider</w:t>
      </w:r>
      <w:proofErr w:type="gramEnd"/>
      <w:r w:rsidRPr="00811C1B">
        <w:t xml:space="preserve"> (OAAPS spreadsheet, </w:t>
      </w:r>
      <w:r w:rsidRPr="00811C1B">
        <w:lastRenderedPageBreak/>
        <w:t xml:space="preserve">narrative, and persons served reports) to State Legal Assistance Developer via </w:t>
      </w:r>
      <w:proofErr w:type="spellStart"/>
      <w:r w:rsidRPr="00811C1B">
        <w:t>Foundant</w:t>
      </w:r>
      <w:proofErr w:type="spellEnd"/>
      <w:r w:rsidRPr="00811C1B">
        <w:t>.</w:t>
      </w:r>
    </w:p>
    <w:p w14:paraId="3B99B093" w14:textId="77777777" w:rsidR="008160CB" w:rsidRDefault="00811C1B" w:rsidP="00811C1B">
      <w:pPr>
        <w:pStyle w:val="ListParagraph"/>
        <w:numPr>
          <w:ilvl w:val="2"/>
          <w:numId w:val="14"/>
        </w:numPr>
      </w:pPr>
      <w:r w:rsidRPr="00811C1B">
        <w:t>Provider will submit an OAAPS report on the Legal Server Upload spreadsheet template. This quarterly report should include all direct representation legal services provided by the entity between October 1 and December 31.</w:t>
      </w:r>
    </w:p>
    <w:p w14:paraId="29AE66EB" w14:textId="77777777" w:rsidR="008160CB" w:rsidRDefault="00811C1B" w:rsidP="00811C1B">
      <w:pPr>
        <w:pStyle w:val="ListParagraph"/>
        <w:numPr>
          <w:ilvl w:val="2"/>
          <w:numId w:val="14"/>
        </w:numPr>
      </w:pPr>
      <w:r w:rsidRPr="00811C1B">
        <w:t xml:space="preserve">Provider will submit a report showing the number of </w:t>
      </w:r>
      <w:proofErr w:type="gramStart"/>
      <w:r w:rsidRPr="00811C1B">
        <w:t>persons</w:t>
      </w:r>
      <w:proofErr w:type="gramEnd"/>
      <w:r w:rsidRPr="00811C1B">
        <w:t xml:space="preserve"> served and amount of money spent down during the quarter, October 1-December 31.</w:t>
      </w:r>
    </w:p>
    <w:p w14:paraId="09C46EF0" w14:textId="5186566D" w:rsidR="00811C1B" w:rsidRDefault="00811C1B" w:rsidP="00811C1B">
      <w:pPr>
        <w:pStyle w:val="ListParagraph"/>
        <w:numPr>
          <w:ilvl w:val="2"/>
          <w:numId w:val="14"/>
        </w:numPr>
      </w:pPr>
      <w:r w:rsidRPr="00811C1B">
        <w:t>Provider will submit a report including case narratives, unmet legal needs, and education/ outreach from October 1- December 31.</w:t>
      </w:r>
    </w:p>
    <w:p w14:paraId="1A60CEFD" w14:textId="77777777" w:rsidR="008160CB" w:rsidRPr="00811C1B" w:rsidRDefault="008160CB" w:rsidP="008160CB">
      <w:pPr>
        <w:pStyle w:val="ListParagraph"/>
        <w:ind w:left="2160"/>
      </w:pPr>
    </w:p>
    <w:p w14:paraId="79267111" w14:textId="77777777" w:rsidR="008160CB" w:rsidRDefault="00811C1B" w:rsidP="00811C1B">
      <w:pPr>
        <w:pStyle w:val="ListParagraph"/>
        <w:numPr>
          <w:ilvl w:val="1"/>
          <w:numId w:val="14"/>
        </w:numPr>
      </w:pPr>
      <w:r w:rsidRPr="00811C1B">
        <w:t xml:space="preserve">On April 10 (or a contractually defined date): Provider sends reporting information directly to AAA. On or before April 15, AAA submits all reporting information received from </w:t>
      </w:r>
      <w:proofErr w:type="gramStart"/>
      <w:r w:rsidRPr="00811C1B">
        <w:t>provider</w:t>
      </w:r>
      <w:proofErr w:type="gramEnd"/>
      <w:r w:rsidRPr="00811C1B">
        <w:t xml:space="preserve"> (OAAPS spreadsheet, narrative and persons served reports) to State Legal Assistance Developer via </w:t>
      </w:r>
      <w:proofErr w:type="spellStart"/>
      <w:r w:rsidRPr="00811C1B">
        <w:t>Foundant</w:t>
      </w:r>
      <w:proofErr w:type="spellEnd"/>
      <w:r w:rsidRPr="00811C1B">
        <w:t>.</w:t>
      </w:r>
    </w:p>
    <w:p w14:paraId="1DC2B7C8" w14:textId="77777777" w:rsidR="008160CB" w:rsidRDefault="00811C1B" w:rsidP="00811C1B">
      <w:pPr>
        <w:pStyle w:val="ListParagraph"/>
        <w:numPr>
          <w:ilvl w:val="2"/>
          <w:numId w:val="14"/>
        </w:numPr>
      </w:pPr>
      <w:r w:rsidRPr="00811C1B">
        <w:t>Provider will submit an OAAPS report on the Legal Server Upload spreadsheet template. This quarterly report should include all direct representation legal services provided by the entity between January 1 and March 31.</w:t>
      </w:r>
    </w:p>
    <w:p w14:paraId="58734B10" w14:textId="77777777" w:rsidR="008160CB" w:rsidRDefault="00811C1B" w:rsidP="00811C1B">
      <w:pPr>
        <w:pStyle w:val="ListParagraph"/>
        <w:numPr>
          <w:ilvl w:val="2"/>
          <w:numId w:val="14"/>
        </w:numPr>
      </w:pPr>
      <w:r w:rsidRPr="00811C1B">
        <w:t xml:space="preserve">Provider will submit a report showing the number of </w:t>
      </w:r>
      <w:proofErr w:type="gramStart"/>
      <w:r w:rsidRPr="00811C1B">
        <w:t>persons</w:t>
      </w:r>
      <w:proofErr w:type="gramEnd"/>
      <w:r w:rsidRPr="00811C1B">
        <w:t xml:space="preserve"> served and amount of money spent down during the quarter, January 1-March 31.</w:t>
      </w:r>
    </w:p>
    <w:p w14:paraId="5B9D4832" w14:textId="057E46EB" w:rsidR="00811C1B" w:rsidRDefault="00811C1B" w:rsidP="00811C1B">
      <w:pPr>
        <w:pStyle w:val="ListParagraph"/>
        <w:numPr>
          <w:ilvl w:val="2"/>
          <w:numId w:val="14"/>
        </w:numPr>
      </w:pPr>
      <w:r w:rsidRPr="00811C1B">
        <w:t>Provider will submit a report including case narratives, unmet legal needs, and education/ outreach from January 1-March 31.</w:t>
      </w:r>
    </w:p>
    <w:p w14:paraId="24B2FE58" w14:textId="77777777" w:rsidR="008160CB" w:rsidRPr="00811C1B" w:rsidRDefault="008160CB" w:rsidP="008160CB">
      <w:pPr>
        <w:pStyle w:val="ListParagraph"/>
        <w:ind w:left="2160"/>
      </w:pPr>
    </w:p>
    <w:p w14:paraId="4C7B64CC" w14:textId="77777777" w:rsidR="008160CB" w:rsidRDefault="00811C1B" w:rsidP="00811C1B">
      <w:pPr>
        <w:pStyle w:val="ListParagraph"/>
        <w:numPr>
          <w:ilvl w:val="1"/>
          <w:numId w:val="14"/>
        </w:numPr>
      </w:pPr>
      <w:r w:rsidRPr="00811C1B">
        <w:t xml:space="preserve">On July 10 (or a contractually defined date): Legal services provider sends reporting information directly to AAA. On or before July 15, AAA submits all reporting information received from provider (OAAPS spreadsheet, narrative, and persons served reports) to State Legal Assistance Developer via </w:t>
      </w:r>
      <w:proofErr w:type="spellStart"/>
      <w:r w:rsidRPr="00811C1B">
        <w:t>Foundant</w:t>
      </w:r>
      <w:proofErr w:type="spellEnd"/>
      <w:r w:rsidRPr="00811C1B">
        <w:t>.</w:t>
      </w:r>
    </w:p>
    <w:p w14:paraId="28B64F50" w14:textId="77777777" w:rsidR="008160CB" w:rsidRDefault="00811C1B" w:rsidP="00811C1B">
      <w:pPr>
        <w:pStyle w:val="ListParagraph"/>
        <w:numPr>
          <w:ilvl w:val="2"/>
          <w:numId w:val="14"/>
        </w:numPr>
      </w:pPr>
      <w:r w:rsidRPr="00811C1B">
        <w:t>Provider will submit an OAAPS report on the Legal Server Upload spreadsheet template. This quarterly report should include all direct representation legal services provided by the entity between April 1 and June 30.</w:t>
      </w:r>
    </w:p>
    <w:p w14:paraId="4CD5B3A9" w14:textId="77777777" w:rsidR="008160CB" w:rsidRDefault="00811C1B" w:rsidP="00811C1B">
      <w:pPr>
        <w:pStyle w:val="ListParagraph"/>
        <w:numPr>
          <w:ilvl w:val="2"/>
          <w:numId w:val="14"/>
        </w:numPr>
      </w:pPr>
      <w:r w:rsidRPr="00811C1B">
        <w:t xml:space="preserve">Provider will submit a report showing the number of </w:t>
      </w:r>
      <w:proofErr w:type="gramStart"/>
      <w:r w:rsidRPr="00811C1B">
        <w:t>persons</w:t>
      </w:r>
      <w:proofErr w:type="gramEnd"/>
      <w:r w:rsidRPr="00811C1B">
        <w:t xml:space="preserve"> served and amount of money </w:t>
      </w:r>
      <w:proofErr w:type="gramStart"/>
      <w:r w:rsidRPr="00811C1B">
        <w:t>spent down</w:t>
      </w:r>
      <w:proofErr w:type="gramEnd"/>
      <w:r w:rsidRPr="00811C1B">
        <w:t xml:space="preserve"> during the quarter.</w:t>
      </w:r>
    </w:p>
    <w:p w14:paraId="0A4135D6" w14:textId="1344AE0C" w:rsidR="00811C1B" w:rsidRDefault="00811C1B" w:rsidP="00811C1B">
      <w:pPr>
        <w:pStyle w:val="ListParagraph"/>
        <w:numPr>
          <w:ilvl w:val="2"/>
          <w:numId w:val="14"/>
        </w:numPr>
      </w:pPr>
      <w:r w:rsidRPr="00811C1B">
        <w:t>Provider will submit a report including case narratives, unmet legal needs, and education/ outreach from April 1- June 30.</w:t>
      </w:r>
    </w:p>
    <w:p w14:paraId="0E756EE7" w14:textId="77777777" w:rsidR="008160CB" w:rsidRPr="00811C1B" w:rsidRDefault="008160CB" w:rsidP="008160CB">
      <w:pPr>
        <w:pStyle w:val="ListParagraph"/>
        <w:ind w:left="2160"/>
      </w:pPr>
    </w:p>
    <w:p w14:paraId="31C6A115" w14:textId="77777777" w:rsidR="008160CB" w:rsidRDefault="00811C1B" w:rsidP="00811C1B">
      <w:pPr>
        <w:pStyle w:val="ListParagraph"/>
        <w:numPr>
          <w:ilvl w:val="1"/>
          <w:numId w:val="14"/>
        </w:numPr>
      </w:pPr>
      <w:r w:rsidRPr="00811C1B">
        <w:t xml:space="preserve">On October 10 (or a contractually defined date): Legal services provider sends reporting information directly to AAA. On or before October 15, AAA </w:t>
      </w:r>
      <w:r w:rsidRPr="00811C1B">
        <w:lastRenderedPageBreak/>
        <w:t xml:space="preserve">submits all reporting information received from </w:t>
      </w:r>
      <w:proofErr w:type="gramStart"/>
      <w:r w:rsidRPr="00811C1B">
        <w:t>provider</w:t>
      </w:r>
      <w:proofErr w:type="gramEnd"/>
      <w:r w:rsidRPr="00811C1B">
        <w:t xml:space="preserve"> (OAAPS spreadsheet, narrative, and persons served reports) to State Legal Assistance Developer via </w:t>
      </w:r>
      <w:proofErr w:type="spellStart"/>
      <w:r w:rsidRPr="00811C1B">
        <w:t>Foundant</w:t>
      </w:r>
      <w:proofErr w:type="spellEnd"/>
      <w:r w:rsidRPr="00811C1B">
        <w:t>.</w:t>
      </w:r>
    </w:p>
    <w:p w14:paraId="4DB2E243" w14:textId="77777777" w:rsidR="008160CB" w:rsidRDefault="00811C1B" w:rsidP="00811C1B">
      <w:pPr>
        <w:pStyle w:val="ListParagraph"/>
        <w:numPr>
          <w:ilvl w:val="2"/>
          <w:numId w:val="14"/>
        </w:numPr>
      </w:pPr>
      <w:r w:rsidRPr="00811C1B">
        <w:t>Provider will submit an OAAPS report on the Legal Server Upload spreadsheet template. This quarterly report should include all direct representation legal services provided by the entity between July 1- September 30.</w:t>
      </w:r>
    </w:p>
    <w:p w14:paraId="260F5748" w14:textId="77777777" w:rsidR="008160CB" w:rsidRDefault="00811C1B" w:rsidP="00811C1B">
      <w:pPr>
        <w:pStyle w:val="ListParagraph"/>
        <w:numPr>
          <w:ilvl w:val="2"/>
          <w:numId w:val="14"/>
        </w:numPr>
      </w:pPr>
      <w:r w:rsidRPr="00811C1B">
        <w:t xml:space="preserve">Provider will submit a report showing the number of </w:t>
      </w:r>
      <w:proofErr w:type="gramStart"/>
      <w:r w:rsidRPr="00811C1B">
        <w:t>persons</w:t>
      </w:r>
      <w:proofErr w:type="gramEnd"/>
      <w:r w:rsidRPr="00811C1B">
        <w:t xml:space="preserve"> served and amount of money </w:t>
      </w:r>
      <w:proofErr w:type="gramStart"/>
      <w:r w:rsidRPr="00811C1B">
        <w:t>spent down</w:t>
      </w:r>
      <w:proofErr w:type="gramEnd"/>
      <w:r w:rsidRPr="00811C1B">
        <w:t xml:space="preserve"> during the quarter.</w:t>
      </w:r>
    </w:p>
    <w:p w14:paraId="3E8B1FE3" w14:textId="77777777" w:rsidR="008160CB" w:rsidRPr="00126138" w:rsidRDefault="00811C1B" w:rsidP="00811C1B">
      <w:pPr>
        <w:pStyle w:val="ListParagraph"/>
        <w:numPr>
          <w:ilvl w:val="2"/>
          <w:numId w:val="14"/>
        </w:numPr>
      </w:pPr>
      <w:r w:rsidRPr="00811C1B">
        <w:t xml:space="preserve">Provider </w:t>
      </w:r>
      <w:r w:rsidRPr="00126138">
        <w:t>will submit an OAAPS report on the Legal Server Upload spreadsheet template. This FULL FEDERAL FISCAL YEAR report should include all direct representation legal services provided by the entity between October 1 and September 30.</w:t>
      </w:r>
    </w:p>
    <w:p w14:paraId="3CDC8B4E" w14:textId="323B14D4" w:rsidR="00811C1B" w:rsidRPr="00126138" w:rsidRDefault="00811C1B" w:rsidP="00811C1B">
      <w:pPr>
        <w:pStyle w:val="ListParagraph"/>
        <w:numPr>
          <w:ilvl w:val="2"/>
          <w:numId w:val="14"/>
        </w:numPr>
      </w:pPr>
      <w:r w:rsidRPr="00126138">
        <w:t>Provider will submit a report including case narratives, unmet legal needs, and education/ outreach from July 1- September 30.</w:t>
      </w:r>
      <w:r w:rsidRPr="00126138">
        <w:br/>
        <w:t>a. Reporting Templates include the following:</w:t>
      </w:r>
      <w:r w:rsidRPr="00126138">
        <w:br/>
      </w:r>
      <w:proofErr w:type="spellStart"/>
      <w:r w:rsidRPr="00126138">
        <w:t>i</w:t>
      </w:r>
      <w:proofErr w:type="spellEnd"/>
      <w:r w:rsidRPr="00126138">
        <w:t>. Narrative Template with Fillable Fields</w:t>
      </w:r>
      <w:r w:rsidRPr="00126138">
        <w:br/>
        <w:t>ii. Upload Tool- Modified</w:t>
      </w:r>
      <w:r w:rsidRPr="00126138">
        <w:br/>
        <w:t>iii. Reporting Documentation</w:t>
      </w:r>
      <w:r w:rsidRPr="00126138">
        <w:br/>
      </w:r>
      <w:proofErr w:type="spellStart"/>
      <w:r w:rsidRPr="00126138">
        <w:t>iiii</w:t>
      </w:r>
      <w:proofErr w:type="spellEnd"/>
      <w:r w:rsidRPr="00126138">
        <w:t>. Reporting Flow</w:t>
      </w:r>
    </w:p>
    <w:p w14:paraId="28655D61" w14:textId="77777777" w:rsidR="00024FE9" w:rsidRPr="00126138" w:rsidRDefault="00024FE9" w:rsidP="00024FE9">
      <w:pPr>
        <w:pStyle w:val="ListParagraph"/>
      </w:pPr>
    </w:p>
    <w:p w14:paraId="73D911DD" w14:textId="33610517" w:rsidR="00811C1B" w:rsidRPr="00126138" w:rsidRDefault="00024FE9" w:rsidP="00024FE9">
      <w:pPr>
        <w:pStyle w:val="ListParagraph"/>
        <w:numPr>
          <w:ilvl w:val="0"/>
          <w:numId w:val="14"/>
        </w:numPr>
      </w:pPr>
      <w:r w:rsidRPr="00126138">
        <w:t xml:space="preserve">The </w:t>
      </w:r>
      <w:r w:rsidR="00811C1B" w:rsidRPr="00126138">
        <w:t xml:space="preserve">AAA staff will ensure that legal services reporting is accurate, complete and will </w:t>
      </w:r>
      <w:proofErr w:type="gramStart"/>
      <w:r w:rsidR="00811C1B" w:rsidRPr="00126138">
        <w:t>submit</w:t>
      </w:r>
      <w:proofErr w:type="gramEnd"/>
      <w:r w:rsidR="00811C1B" w:rsidRPr="00126138">
        <w:t xml:space="preserve"> to MBA on or before the 15th day of the month following the end of the quarter. In addition, AAA staff must update legal service information within Grant Utility, including, but not limited to, </w:t>
      </w:r>
      <w:proofErr w:type="gramStart"/>
      <w:r w:rsidR="00811C1B" w:rsidRPr="00126138">
        <w:t>persons</w:t>
      </w:r>
      <w:proofErr w:type="gramEnd"/>
      <w:r w:rsidR="00811C1B" w:rsidRPr="00126138">
        <w:t xml:space="preserve"> served, units of service, financials, etc., on or before the 15th day of the month following the end of each quarter.</w:t>
      </w:r>
    </w:p>
    <w:p w14:paraId="71E648C9" w14:textId="77777777" w:rsidR="0043031D" w:rsidRDefault="0043031D"/>
    <w:sectPr w:rsidR="004303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5C17" w14:textId="77777777" w:rsidR="00325D8B" w:rsidRDefault="00325D8B" w:rsidP="0013433F">
      <w:pPr>
        <w:spacing w:after="0" w:line="240" w:lineRule="auto"/>
      </w:pPr>
      <w:r>
        <w:separator/>
      </w:r>
    </w:p>
  </w:endnote>
  <w:endnote w:type="continuationSeparator" w:id="0">
    <w:p w14:paraId="10B9C264" w14:textId="77777777" w:rsidR="00325D8B" w:rsidRDefault="00325D8B" w:rsidP="0013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4BA0" w14:textId="77777777" w:rsidR="00BB2B5C" w:rsidRDefault="00BB2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38F4" w14:textId="77777777" w:rsidR="00BB2B5C" w:rsidRDefault="00BB2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9A4E" w14:textId="77777777" w:rsidR="00BB2B5C" w:rsidRDefault="00BB2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FFC3" w14:textId="77777777" w:rsidR="00325D8B" w:rsidRDefault="00325D8B" w:rsidP="0013433F">
      <w:pPr>
        <w:spacing w:after="0" w:line="240" w:lineRule="auto"/>
      </w:pPr>
      <w:r>
        <w:separator/>
      </w:r>
    </w:p>
  </w:footnote>
  <w:footnote w:type="continuationSeparator" w:id="0">
    <w:p w14:paraId="42C2089A" w14:textId="77777777" w:rsidR="00325D8B" w:rsidRDefault="00325D8B" w:rsidP="00134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E8CF" w14:textId="77777777" w:rsidR="00BB2B5C" w:rsidRDefault="00BB2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182" w14:textId="4E94EE7B" w:rsidR="0013433F" w:rsidRDefault="0013433F">
    <w:pPr>
      <w:pStyle w:val="Header"/>
    </w:pPr>
    <w:r w:rsidRPr="0013433F">
      <w:t>MNRAAA Grant Contract Agreement</w:t>
    </w:r>
    <w:r w:rsidRPr="0013433F">
      <w:tab/>
    </w:r>
    <w:r>
      <w:t xml:space="preserve">      </w:t>
    </w:r>
    <w:r w:rsidRPr="0013433F">
      <w:t xml:space="preserve">Exhibit </w:t>
    </w:r>
    <w:r>
      <w:t>E</w:t>
    </w:r>
    <w:r w:rsidRPr="0013433F">
      <w:t xml:space="preserve">: </w:t>
    </w:r>
    <w:r>
      <w:t xml:space="preserve">Legal Service Provider Requirements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2832" w14:textId="77777777" w:rsidR="00BB2B5C" w:rsidRDefault="00BB2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CAA"/>
    <w:multiLevelType w:val="hybridMultilevel"/>
    <w:tmpl w:val="EECA8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F1FB1"/>
    <w:multiLevelType w:val="hybridMultilevel"/>
    <w:tmpl w:val="EF84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D3440"/>
    <w:multiLevelType w:val="hybridMultilevel"/>
    <w:tmpl w:val="84A67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113B1"/>
    <w:multiLevelType w:val="hybridMultilevel"/>
    <w:tmpl w:val="3BFC9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E27E2"/>
    <w:multiLevelType w:val="hybridMultilevel"/>
    <w:tmpl w:val="CDCC80D2"/>
    <w:lvl w:ilvl="0" w:tplc="0409000F">
      <w:start w:val="1"/>
      <w:numFmt w:val="decimal"/>
      <w:lvlText w:val="%1."/>
      <w:lvlJc w:val="left"/>
      <w:pPr>
        <w:ind w:left="720" w:hanging="360"/>
      </w:pPr>
      <w:rPr>
        <w:rFonts w:hint="default"/>
      </w:rPr>
    </w:lvl>
    <w:lvl w:ilvl="1" w:tplc="61100C3E">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52216"/>
    <w:multiLevelType w:val="hybridMultilevel"/>
    <w:tmpl w:val="47B20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36905"/>
    <w:multiLevelType w:val="hybridMultilevel"/>
    <w:tmpl w:val="238C3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21529"/>
    <w:multiLevelType w:val="hybridMultilevel"/>
    <w:tmpl w:val="E1A4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55212"/>
    <w:multiLevelType w:val="hybridMultilevel"/>
    <w:tmpl w:val="A72E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94975"/>
    <w:multiLevelType w:val="hybridMultilevel"/>
    <w:tmpl w:val="36EC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F1EE1"/>
    <w:multiLevelType w:val="hybridMultilevel"/>
    <w:tmpl w:val="A7E8F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70912"/>
    <w:multiLevelType w:val="hybridMultilevel"/>
    <w:tmpl w:val="32C6348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E562DF9"/>
    <w:multiLevelType w:val="hybridMultilevel"/>
    <w:tmpl w:val="F060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43516F"/>
    <w:multiLevelType w:val="hybridMultilevel"/>
    <w:tmpl w:val="C9F42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4416">
    <w:abstractNumId w:val="8"/>
  </w:num>
  <w:num w:numId="2" w16cid:durableId="2132046374">
    <w:abstractNumId w:val="4"/>
  </w:num>
  <w:num w:numId="3" w16cid:durableId="1069965391">
    <w:abstractNumId w:val="13"/>
  </w:num>
  <w:num w:numId="4" w16cid:durableId="189297612">
    <w:abstractNumId w:val="1"/>
  </w:num>
  <w:num w:numId="5" w16cid:durableId="1421104438">
    <w:abstractNumId w:val="3"/>
  </w:num>
  <w:num w:numId="6" w16cid:durableId="1946886878">
    <w:abstractNumId w:val="7"/>
  </w:num>
  <w:num w:numId="7" w16cid:durableId="1796947270">
    <w:abstractNumId w:val="10"/>
  </w:num>
  <w:num w:numId="8" w16cid:durableId="1859615407">
    <w:abstractNumId w:val="5"/>
  </w:num>
  <w:num w:numId="9" w16cid:durableId="1018461228">
    <w:abstractNumId w:val="0"/>
  </w:num>
  <w:num w:numId="10" w16cid:durableId="1302267322">
    <w:abstractNumId w:val="12"/>
  </w:num>
  <w:num w:numId="11" w16cid:durableId="607389064">
    <w:abstractNumId w:val="11"/>
  </w:num>
  <w:num w:numId="12" w16cid:durableId="16349216">
    <w:abstractNumId w:val="2"/>
  </w:num>
  <w:num w:numId="13" w16cid:durableId="285546038">
    <w:abstractNumId w:val="6"/>
  </w:num>
  <w:num w:numId="14" w16cid:durableId="58720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2A"/>
    <w:rsid w:val="00024FE9"/>
    <w:rsid w:val="000A42C0"/>
    <w:rsid w:val="00102FCF"/>
    <w:rsid w:val="00126138"/>
    <w:rsid w:val="0013433F"/>
    <w:rsid w:val="001E6A67"/>
    <w:rsid w:val="002366DB"/>
    <w:rsid w:val="00275030"/>
    <w:rsid w:val="002F1165"/>
    <w:rsid w:val="00325D8B"/>
    <w:rsid w:val="00374E7B"/>
    <w:rsid w:val="0043031D"/>
    <w:rsid w:val="00437807"/>
    <w:rsid w:val="00460AB0"/>
    <w:rsid w:val="00461B28"/>
    <w:rsid w:val="0048657C"/>
    <w:rsid w:val="004A5C03"/>
    <w:rsid w:val="004F0CEC"/>
    <w:rsid w:val="0050002C"/>
    <w:rsid w:val="00500B07"/>
    <w:rsid w:val="0053602A"/>
    <w:rsid w:val="00537FCE"/>
    <w:rsid w:val="005A4DFE"/>
    <w:rsid w:val="005E3F9F"/>
    <w:rsid w:val="006A190D"/>
    <w:rsid w:val="006D046E"/>
    <w:rsid w:val="00726A5C"/>
    <w:rsid w:val="00811C1B"/>
    <w:rsid w:val="008160CB"/>
    <w:rsid w:val="00823C81"/>
    <w:rsid w:val="0092278E"/>
    <w:rsid w:val="00972E22"/>
    <w:rsid w:val="0099529B"/>
    <w:rsid w:val="009C1B77"/>
    <w:rsid w:val="009D1E69"/>
    <w:rsid w:val="009E7C61"/>
    <w:rsid w:val="00A0103A"/>
    <w:rsid w:val="00A574D0"/>
    <w:rsid w:val="00B752D6"/>
    <w:rsid w:val="00B95481"/>
    <w:rsid w:val="00BB2B5C"/>
    <w:rsid w:val="00BD720C"/>
    <w:rsid w:val="00BE19E6"/>
    <w:rsid w:val="00C07A6B"/>
    <w:rsid w:val="00C12A4C"/>
    <w:rsid w:val="00C71E5C"/>
    <w:rsid w:val="00C80727"/>
    <w:rsid w:val="00CB2819"/>
    <w:rsid w:val="00CD6CC0"/>
    <w:rsid w:val="00D03AFC"/>
    <w:rsid w:val="00D84E2C"/>
    <w:rsid w:val="00DD2E1C"/>
    <w:rsid w:val="00E67288"/>
    <w:rsid w:val="00E720E2"/>
    <w:rsid w:val="00EE6C23"/>
    <w:rsid w:val="00F01D1D"/>
    <w:rsid w:val="00FE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9156"/>
  <w15:chartTrackingRefBased/>
  <w15:docId w15:val="{6E0FF1AD-37A7-4D7F-A2B6-864EC9DD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0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0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0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0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0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0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0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0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0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0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0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0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0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0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0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0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02A"/>
    <w:pPr>
      <w:spacing w:before="160"/>
      <w:jc w:val="center"/>
    </w:pPr>
    <w:rPr>
      <w:i/>
      <w:iCs/>
      <w:color w:val="404040" w:themeColor="text1" w:themeTint="BF"/>
    </w:rPr>
  </w:style>
  <w:style w:type="character" w:customStyle="1" w:styleId="QuoteChar">
    <w:name w:val="Quote Char"/>
    <w:basedOn w:val="DefaultParagraphFont"/>
    <w:link w:val="Quote"/>
    <w:uiPriority w:val="29"/>
    <w:rsid w:val="0053602A"/>
    <w:rPr>
      <w:i/>
      <w:iCs/>
      <w:color w:val="404040" w:themeColor="text1" w:themeTint="BF"/>
    </w:rPr>
  </w:style>
  <w:style w:type="paragraph" w:styleId="ListParagraph">
    <w:name w:val="List Paragraph"/>
    <w:basedOn w:val="Normal"/>
    <w:uiPriority w:val="34"/>
    <w:qFormat/>
    <w:rsid w:val="0053602A"/>
    <w:pPr>
      <w:ind w:left="720"/>
      <w:contextualSpacing/>
    </w:pPr>
  </w:style>
  <w:style w:type="character" w:styleId="IntenseEmphasis">
    <w:name w:val="Intense Emphasis"/>
    <w:basedOn w:val="DefaultParagraphFont"/>
    <w:uiPriority w:val="21"/>
    <w:qFormat/>
    <w:rsid w:val="0053602A"/>
    <w:rPr>
      <w:i/>
      <w:iCs/>
      <w:color w:val="0F4761" w:themeColor="accent1" w:themeShade="BF"/>
    </w:rPr>
  </w:style>
  <w:style w:type="paragraph" w:styleId="IntenseQuote">
    <w:name w:val="Intense Quote"/>
    <w:basedOn w:val="Normal"/>
    <w:next w:val="Normal"/>
    <w:link w:val="IntenseQuoteChar"/>
    <w:uiPriority w:val="30"/>
    <w:qFormat/>
    <w:rsid w:val="00536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02A"/>
    <w:rPr>
      <w:i/>
      <w:iCs/>
      <w:color w:val="0F4761" w:themeColor="accent1" w:themeShade="BF"/>
    </w:rPr>
  </w:style>
  <w:style w:type="character" w:styleId="IntenseReference">
    <w:name w:val="Intense Reference"/>
    <w:basedOn w:val="DefaultParagraphFont"/>
    <w:uiPriority w:val="32"/>
    <w:qFormat/>
    <w:rsid w:val="0053602A"/>
    <w:rPr>
      <w:b/>
      <w:bCs/>
      <w:smallCaps/>
      <w:color w:val="0F4761" w:themeColor="accent1" w:themeShade="BF"/>
      <w:spacing w:val="5"/>
    </w:rPr>
  </w:style>
  <w:style w:type="character" w:styleId="Hyperlink">
    <w:name w:val="Hyperlink"/>
    <w:basedOn w:val="DefaultParagraphFont"/>
    <w:uiPriority w:val="99"/>
    <w:unhideWhenUsed/>
    <w:rsid w:val="00811C1B"/>
    <w:rPr>
      <w:color w:val="467886" w:themeColor="hyperlink"/>
      <w:u w:val="single"/>
    </w:rPr>
  </w:style>
  <w:style w:type="character" w:styleId="UnresolvedMention">
    <w:name w:val="Unresolved Mention"/>
    <w:basedOn w:val="DefaultParagraphFont"/>
    <w:uiPriority w:val="99"/>
    <w:semiHidden/>
    <w:unhideWhenUsed/>
    <w:rsid w:val="00811C1B"/>
    <w:rPr>
      <w:color w:val="605E5C"/>
      <w:shd w:val="clear" w:color="auto" w:fill="E1DFDD"/>
    </w:rPr>
  </w:style>
  <w:style w:type="paragraph" w:styleId="Header">
    <w:name w:val="header"/>
    <w:basedOn w:val="Normal"/>
    <w:link w:val="HeaderChar"/>
    <w:uiPriority w:val="99"/>
    <w:unhideWhenUsed/>
    <w:rsid w:val="00134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33F"/>
  </w:style>
  <w:style w:type="paragraph" w:styleId="Footer">
    <w:name w:val="footer"/>
    <w:basedOn w:val="Normal"/>
    <w:link w:val="FooterChar"/>
    <w:uiPriority w:val="99"/>
    <w:unhideWhenUsed/>
    <w:rsid w:val="00134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B740CB0B91942BAAB9513727CEC05" ma:contentTypeVersion="18" ma:contentTypeDescription="Create a new document." ma:contentTypeScope="" ma:versionID="8801f2867d3599251677af171d3d2bbf">
  <xsd:schema xmlns:xsd="http://www.w3.org/2001/XMLSchema" xmlns:xs="http://www.w3.org/2001/XMLSchema" xmlns:p="http://schemas.microsoft.com/office/2006/metadata/properties" xmlns:ns2="6c657f26-9dfb-4e35-9c07-0d8c94a63ced" xmlns:ns3="ab4dbc0d-5c5f-4a0f-a688-a757018289e1" targetNamespace="http://schemas.microsoft.com/office/2006/metadata/properties" ma:root="true" ma:fieldsID="a928fb0eaadc4cdbca1c8640a6fa96db" ns2:_="" ns3:_="">
    <xsd:import namespace="6c657f26-9dfb-4e35-9c07-0d8c94a63ced"/>
    <xsd:import namespace="ab4dbc0d-5c5f-4a0f-a688-a75701828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57f26-9dfb-4e35-9c07-0d8c94a63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d7d5df-56bb-454e-acd2-dde88eb4c1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dbc0d-5c5f-4a0f-a688-a75701828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e68a2-8abc-4ced-9e10-5767866fe0ad}" ma:internalName="TaxCatchAll" ma:showField="CatchAllData" ma:web="ab4dbc0d-5c5f-4a0f-a688-a757018289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4dbc0d-5c5f-4a0f-a688-a757018289e1">
      <UserInfo>
        <DisplayName/>
        <AccountId xsi:nil="true"/>
        <AccountType/>
      </UserInfo>
    </SharedWithUsers>
    <lcf76f155ced4ddcb4097134ff3c332f xmlns="6c657f26-9dfb-4e35-9c07-0d8c94a63ced">
      <Terms xmlns="http://schemas.microsoft.com/office/infopath/2007/PartnerControls"/>
    </lcf76f155ced4ddcb4097134ff3c332f>
    <TaxCatchAll xmlns="ab4dbc0d-5c5f-4a0f-a688-a757018289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78869-A718-404A-B915-E5B89CC11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57f26-9dfb-4e35-9c07-0d8c94a63ced"/>
    <ds:schemaRef ds:uri="ab4dbc0d-5c5f-4a0f-a688-a75701828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F40D3-0B6D-4B2E-87D7-691BBD32ABCD}">
  <ds:schemaRefs>
    <ds:schemaRef ds:uri="http://schemas.microsoft.com/office/2006/metadata/properties"/>
    <ds:schemaRef ds:uri="http://schemas.microsoft.com/office/infopath/2007/PartnerControls"/>
    <ds:schemaRef ds:uri="ab4dbc0d-5c5f-4a0f-a688-a757018289e1"/>
    <ds:schemaRef ds:uri="6c657f26-9dfb-4e35-9c07-0d8c94a63ced"/>
  </ds:schemaRefs>
</ds:datastoreItem>
</file>

<file path=customXml/itemProps3.xml><?xml version="1.0" encoding="utf-8"?>
<ds:datastoreItem xmlns:ds="http://schemas.openxmlformats.org/officeDocument/2006/customXml" ds:itemID="{1D8BA1A4-93CE-4413-9E27-A3AA64ECD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3802</Words>
  <Characters>21677</Characters>
  <Application>Microsoft Office Word</Application>
  <DocSecurity>0</DocSecurity>
  <Lines>180</Lines>
  <Paragraphs>50</Paragraphs>
  <ScaleCrop>false</ScaleCrop>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Swanson</dc:creator>
  <cp:keywords/>
  <dc:description/>
  <cp:lastModifiedBy>Jason Swanson</cp:lastModifiedBy>
  <cp:revision>38</cp:revision>
  <dcterms:created xsi:type="dcterms:W3CDTF">2025-10-21T17:02:00Z</dcterms:created>
  <dcterms:modified xsi:type="dcterms:W3CDTF">2026-06-01T19:11:00Z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0x010100120B740CB0B91942BAAB9513727CEC05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